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right="-454.7244094488178"/>
        <w:rPr>
          <w:rFonts w:ascii="Calibri" w:cs="Calibri" w:eastAsia="Calibri" w:hAnsi="Calibri"/>
          <w:color w:val="ff6600"/>
          <w:sz w:val="36"/>
          <w:szCs w:val="36"/>
        </w:rPr>
      </w:pPr>
      <w:r w:rsidDel="00000000" w:rsidR="00000000" w:rsidRPr="00000000">
        <w:rPr>
          <w:rFonts w:ascii="Calibri" w:cs="Calibri" w:eastAsia="Calibri" w:hAnsi="Calibri"/>
          <w:color w:val="ff6600"/>
          <w:sz w:val="36"/>
          <w:szCs w:val="36"/>
          <w:rtl w:val="0"/>
        </w:rPr>
        <w:t xml:space="preserve">Spanish Report on Bullying and Cyberbullying Policies and Practices</w:t>
      </w:r>
    </w:p>
    <w:p w:rsidR="00000000" w:rsidDel="00000000" w:rsidP="00000000" w:rsidRDefault="00000000" w:rsidRPr="00000000" w14:paraId="00000002">
      <w:pPr>
        <w:spacing w:after="120" w:line="276" w:lineRule="auto"/>
        <w:jc w:val="center"/>
        <w:rPr>
          <w:rFonts w:ascii="Calibri" w:cs="Calibri" w:eastAsia="Calibri" w:hAnsi="Calibri"/>
          <w:color w:val="ff6600"/>
          <w:sz w:val="36"/>
          <w:szCs w:val="36"/>
        </w:rPr>
      </w:pP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b w:val="1"/>
          <w:rtl w:val="0"/>
        </w:rPr>
        <w:t xml:space="preserve">Partner Country:</w:t>
      </w:r>
      <w:r w:rsidDel="00000000" w:rsidR="00000000" w:rsidRPr="00000000">
        <w:rPr>
          <w:rtl w:val="0"/>
        </w:rPr>
        <w:t xml:space="preserve"> Spain</w:t>
      </w:r>
    </w:p>
    <w:p w:rsidR="00000000" w:rsidDel="00000000" w:rsidP="00000000" w:rsidRDefault="00000000" w:rsidRPr="00000000" w14:paraId="00000004">
      <w:pPr>
        <w:spacing w:after="120" w:line="276" w:lineRule="auto"/>
        <w:jc w:val="both"/>
        <w:rPr/>
      </w:pPr>
      <w:r w:rsidDel="00000000" w:rsidR="00000000" w:rsidRPr="00000000">
        <w:rPr>
          <w:b w:val="1"/>
          <w:rtl w:val="0"/>
        </w:rPr>
        <w:t xml:space="preserve">Partner Organization:</w:t>
      </w:r>
      <w:r w:rsidDel="00000000" w:rsidR="00000000" w:rsidRPr="00000000">
        <w:rPr>
          <w:rtl w:val="0"/>
        </w:rPr>
        <w:t xml:space="preserve"> University of Salamanca</w:t>
      </w:r>
    </w:p>
    <w:p w:rsidR="00000000" w:rsidDel="00000000" w:rsidP="00000000" w:rsidRDefault="00000000" w:rsidRPr="00000000" w14:paraId="00000005">
      <w:pPr>
        <w:spacing w:after="120" w:line="276" w:lineRule="auto"/>
        <w:jc w:val="both"/>
        <w:rPr/>
      </w:pPr>
      <w:r w:rsidDel="00000000" w:rsidR="00000000" w:rsidRPr="00000000">
        <w:rPr>
          <w:b w:val="1"/>
          <w:rtl w:val="0"/>
        </w:rPr>
        <w:t xml:space="preserve">Report Author(s):</w:t>
      </w:r>
      <w:r w:rsidDel="00000000" w:rsidR="00000000" w:rsidRPr="00000000">
        <w:rPr>
          <w:rtl w:val="0"/>
        </w:rPr>
        <w:t xml:space="preserve"> Maria José Hernandez-Serrano, Luis M. González Rodero, Isabel Vicario Molina, </w:t>
      </w:r>
    </w:p>
    <w:p w:rsidR="00000000" w:rsidDel="00000000" w:rsidP="00000000" w:rsidRDefault="00000000" w:rsidRPr="00000000" w14:paraId="00000006">
      <w:pPr>
        <w:spacing w:after="120" w:line="276" w:lineRule="auto"/>
        <w:jc w:val="both"/>
        <w:rPr/>
      </w:pPr>
      <w:r w:rsidDel="00000000" w:rsidR="00000000" w:rsidRPr="00000000">
        <w:rPr>
          <w:b w:val="1"/>
          <w:rtl w:val="0"/>
        </w:rPr>
        <w:t xml:space="preserve">Date:</w:t>
      </w:r>
      <w:r w:rsidDel="00000000" w:rsidR="00000000" w:rsidRPr="00000000">
        <w:rPr>
          <w:rtl w:val="0"/>
        </w:rPr>
        <w:t xml:space="preserve"> 22/09/2025</w:t>
      </w:r>
    </w:p>
    <w:p w:rsidR="00000000" w:rsidDel="00000000" w:rsidP="00000000" w:rsidRDefault="00000000" w:rsidRPr="00000000" w14:paraId="00000007">
      <w:pPr>
        <w:spacing w:after="120" w:line="276" w:lineRule="auto"/>
        <w:jc w:val="both"/>
        <w:rPr/>
      </w:pPr>
      <w:r w:rsidDel="00000000" w:rsidR="00000000" w:rsidRPr="00000000">
        <w:rPr>
          <w:rtl w:val="0"/>
        </w:rPr>
      </w:r>
    </w:p>
    <w:p w:rsidR="00000000" w:rsidDel="00000000" w:rsidP="00000000" w:rsidRDefault="00000000" w:rsidRPr="00000000" w14:paraId="00000008">
      <w:pPr>
        <w:spacing w:after="120" w:line="276" w:lineRule="auto"/>
        <w:jc w:val="both"/>
        <w:rPr>
          <w:b w:val="1"/>
          <w:highlight w:val="yellow"/>
        </w:rPr>
      </w:pPr>
      <w:r w:rsidDel="00000000" w:rsidR="00000000" w:rsidRPr="00000000">
        <w:rPr>
          <w:b w:val="1"/>
          <w:rtl w:val="0"/>
        </w:rPr>
        <w:t xml:space="preserve">1. National Policy on Bullying and Cyberbullying </w:t>
      </w:r>
      <w:r w:rsidDel="00000000" w:rsidR="00000000" w:rsidRPr="00000000">
        <w:rPr>
          <w:rtl w:val="0"/>
        </w:rPr>
      </w:r>
    </w:p>
    <w:p w:rsidR="00000000" w:rsidDel="00000000" w:rsidP="00000000" w:rsidRDefault="00000000" w:rsidRPr="00000000" w14:paraId="00000009">
      <w:pPr>
        <w:numPr>
          <w:ilvl w:val="0"/>
          <w:numId w:val="4"/>
        </w:numPr>
        <w:spacing w:after="0" w:line="240" w:lineRule="auto"/>
        <w:ind w:left="720" w:hanging="360"/>
        <w:jc w:val="both"/>
        <w:rPr>
          <w:i w:val="1"/>
        </w:rPr>
      </w:pPr>
      <w:r w:rsidDel="00000000" w:rsidR="00000000" w:rsidRPr="00000000">
        <w:rPr>
          <w:i w:val="1"/>
          <w:rtl w:val="0"/>
        </w:rPr>
        <w:t xml:space="preserve">In Spain regulations on bullying vary by region. At the national level, while there is no standalone law devoted exclusively to bullying, </w:t>
      </w:r>
      <w:r w:rsidDel="00000000" w:rsidR="00000000" w:rsidRPr="00000000">
        <w:rPr>
          <w:b w:val="1"/>
          <w:i w:val="1"/>
          <w:rtl w:val="0"/>
        </w:rPr>
        <w:t xml:space="preserve">Organic Law 8/2021 on the Comprehensive Protection of Children and Adolescents against Violence (referred as LOPIVI, 2021</w:t>
      </w:r>
      <w:r w:rsidDel="00000000" w:rsidR="00000000" w:rsidRPr="00000000">
        <w:rPr>
          <w:i w:val="1"/>
          <w:rtl w:val="0"/>
        </w:rPr>
        <w:t xml:space="preserve">) provides a comprehensive framework to protect minors from bullying and cyberbullying. It sets out clear definitions and specific measures for prevention and intervention within educational settings. LOPIVI requires all educational institutions to establish and implement protocols to address abuse, mistreatment, school bullying, cyberbullying, sexual harassment, gender-based violence, domestic violence, suicide, self-harm, and any other form of violence. These protocols apply to every school—public and private—and must be regularly evaluated for effectiveness. They must be triggered whenever teachers, staff, parents, or any member of the school community detects signs of violence, or when minors report such incidents. In addition, certain bullying behaviours may constitute crimes such as injuries, threats or degrading treatment, according to the </w:t>
      </w:r>
      <w:r w:rsidDel="00000000" w:rsidR="00000000" w:rsidRPr="00000000">
        <w:rPr>
          <w:b w:val="1"/>
          <w:i w:val="1"/>
          <w:rtl w:val="0"/>
        </w:rPr>
        <w:t xml:space="preserve">Penal Code</w:t>
      </w:r>
      <w:r w:rsidDel="00000000" w:rsidR="00000000" w:rsidRPr="00000000">
        <w:rPr>
          <w:i w:val="1"/>
          <w:rtl w:val="0"/>
        </w:rPr>
        <w:t xml:space="preserve">.</w:t>
      </w:r>
    </w:p>
    <w:p w:rsidR="00000000" w:rsidDel="00000000" w:rsidP="00000000" w:rsidRDefault="00000000" w:rsidRPr="00000000" w14:paraId="0000000A">
      <w:pPr>
        <w:spacing w:after="0" w:line="240" w:lineRule="auto"/>
        <w:ind w:left="720" w:firstLine="0"/>
        <w:jc w:val="both"/>
        <w:rPr>
          <w:i w:val="1"/>
        </w:rPr>
      </w:pPr>
      <w:bookmarkStart w:colFirst="0" w:colLast="0" w:name="_heading=h.x29y7js01bwy" w:id="0"/>
      <w:bookmarkEnd w:id="0"/>
      <w:r w:rsidDel="00000000" w:rsidR="00000000" w:rsidRPr="00000000">
        <w:rPr>
          <w:i w:val="1"/>
          <w:rtl w:val="0"/>
        </w:rPr>
        <w:t xml:space="preserve">Similarly, the </w:t>
      </w:r>
      <w:r w:rsidDel="00000000" w:rsidR="00000000" w:rsidRPr="00000000">
        <w:rPr>
          <w:b w:val="1"/>
          <w:i w:val="1"/>
          <w:rtl w:val="0"/>
        </w:rPr>
        <w:t xml:space="preserve">Organic Law on Education (referred as LOMLOE, 2021)</w:t>
      </w:r>
      <w:r w:rsidDel="00000000" w:rsidR="00000000" w:rsidRPr="00000000">
        <w:rPr>
          <w:i w:val="1"/>
          <w:rtl w:val="0"/>
        </w:rPr>
        <w:t xml:space="preserve"> establishes the obligation of educational centres to have a Coexistence Plan and protocols for action against bullying.  The law also creates the role of the Well-being and Protection Coordinator in every educational institution. This person is responsible for coordinating prevention, detection, and intervention efforts in cases of violence and for ensuring the effective implementation of the established protocol.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rPr>
      </w:pPr>
      <w:r w:rsidDel="00000000" w:rsidR="00000000" w:rsidRPr="00000000">
        <w:rPr>
          <w:i w:val="1"/>
          <w:rtl w:val="0"/>
        </w:rPr>
        <w:t xml:space="preserve">The </w:t>
      </w:r>
      <w:r w:rsidDel="00000000" w:rsidR="00000000" w:rsidRPr="00000000">
        <w:rPr>
          <w:b w:val="1"/>
          <w:i w:val="1"/>
          <w:rtl w:val="0"/>
        </w:rPr>
        <w:t xml:space="preserve">Spanish Ministry of Education</w:t>
      </w:r>
      <w:r w:rsidDel="00000000" w:rsidR="00000000" w:rsidRPr="00000000">
        <w:rPr>
          <w:i w:val="1"/>
          <w:rtl w:val="0"/>
        </w:rPr>
        <w:t xml:space="preserve"> is the responsible body to provide Guidelines and guidance in different regions: </w:t>
      </w:r>
      <w:hyperlink r:id="rId8">
        <w:r w:rsidDel="00000000" w:rsidR="00000000" w:rsidRPr="00000000">
          <w:rPr>
            <w:i w:val="1"/>
            <w:color w:val="1155cc"/>
            <w:u w:val="single"/>
            <w:rtl w:val="0"/>
          </w:rPr>
          <w:t xml:space="preserve">https://www.educacionfpydeportes.gob.es/mc/sgctie/convivencia-escolar/en-accion/acoso-ciberacoso.html </w:t>
        </w:r>
      </w:hyperlink>
      <w:r w:rsidDel="00000000" w:rsidR="00000000" w:rsidRPr="00000000">
        <w:rPr>
          <w:i w:val="1"/>
          <w:rtl w:val="0"/>
        </w:rPr>
        <w:t xml:space="preserve"> The webpage defines bullying and cyberbullying and stresses schools’ duty to create safe, respectful environments. It gathers </w:t>
      </w:r>
      <w:r w:rsidDel="00000000" w:rsidR="00000000" w:rsidRPr="00000000">
        <w:rPr>
          <w:b w:val="1"/>
          <w:i w:val="1"/>
          <w:rtl w:val="0"/>
        </w:rPr>
        <w:t xml:space="preserve">national and regional guidelines, protocols, and practical tools</w:t>
      </w:r>
      <w:r w:rsidDel="00000000" w:rsidR="00000000" w:rsidRPr="00000000">
        <w:rPr>
          <w:i w:val="1"/>
          <w:rtl w:val="0"/>
        </w:rPr>
        <w:t xml:space="preserve"> for teachers, families, and students on prevention, detection, and response. The site highlights proactive measures—positive coexistence, emotional education, mediation, and safe-use guidance for digital technologies.</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rPr>
      </w:pPr>
      <w:r w:rsidDel="00000000" w:rsidR="00000000" w:rsidRPr="00000000">
        <w:rPr>
          <w:i w:val="1"/>
          <w:rtl w:val="0"/>
        </w:rPr>
        <w:t xml:space="preserve">In terms of national strategies, there is a State Strategy to Eradicate Violence against Children and Adolescents 2023–2030; and sectoral measures such as the 24/7 national anti-bullying helpline. An earlier Strategic Plan for School Coexistence (2016–2020) also guided anti-bullying efforts.</w:t>
      </w:r>
    </w:p>
    <w:p w:rsidR="00000000" w:rsidDel="00000000" w:rsidP="00000000" w:rsidRDefault="00000000" w:rsidRPr="00000000" w14:paraId="0000000D">
      <w:pPr>
        <w:spacing w:after="120"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120" w:line="276" w:lineRule="auto"/>
        <w:jc w:val="both"/>
        <w:rPr>
          <w:b w:val="1"/>
          <w:highlight w:val="yellow"/>
        </w:rPr>
      </w:pPr>
      <w:r w:rsidDel="00000000" w:rsidR="00000000" w:rsidRPr="00000000">
        <w:rPr>
          <w:b w:val="1"/>
          <w:rtl w:val="0"/>
        </w:rPr>
        <w:t xml:space="preserve">2. Platforms for Pupils and Parents to Report Incidents </w:t>
      </w:r>
      <w:r w:rsidDel="00000000" w:rsidR="00000000" w:rsidRPr="00000000">
        <w:rPr>
          <w:rtl w:val="0"/>
        </w:rPr>
      </w:r>
    </w:p>
    <w:p w:rsidR="00000000" w:rsidDel="00000000" w:rsidP="00000000" w:rsidRDefault="00000000" w:rsidRPr="00000000" w14:paraId="0000000F">
      <w:pPr>
        <w:numPr>
          <w:ilvl w:val="0"/>
          <w:numId w:val="3"/>
        </w:numPr>
        <w:spacing w:after="120" w:line="276" w:lineRule="auto"/>
        <w:ind w:left="720" w:hanging="360"/>
        <w:jc w:val="both"/>
        <w:rPr>
          <w:i w:val="1"/>
        </w:rPr>
      </w:pPr>
      <w:r w:rsidDel="00000000" w:rsidR="00000000" w:rsidRPr="00000000">
        <w:rPr>
          <w:i w:val="1"/>
          <w:rtl w:val="0"/>
        </w:rPr>
        <w:t xml:space="preserve">Pupils, parents, and teachers can report bullying/cyberbullying through the </w:t>
      </w:r>
      <w:r w:rsidDel="00000000" w:rsidR="00000000" w:rsidRPr="00000000">
        <w:rPr>
          <w:b w:val="1"/>
          <w:i w:val="1"/>
          <w:rtl w:val="0"/>
        </w:rPr>
        <w:t xml:space="preserve">national 900 018 018 anti-bullying hotline</w:t>
      </w:r>
      <w:r w:rsidDel="00000000" w:rsidR="00000000" w:rsidRPr="00000000">
        <w:rPr>
          <w:i w:val="1"/>
          <w:rtl w:val="0"/>
        </w:rPr>
        <w:t xml:space="preserve"> (24/7, free, anonymous/confidential; staffed by psychologists and other specialists) and via </w:t>
      </w:r>
      <w:r w:rsidDel="00000000" w:rsidR="00000000" w:rsidRPr="00000000">
        <w:rPr>
          <w:b w:val="1"/>
          <w:i w:val="1"/>
          <w:rtl w:val="0"/>
        </w:rPr>
        <w:t xml:space="preserve">INCIBE’s 017 cybersecurity helpline</w:t>
      </w:r>
      <w:r w:rsidDel="00000000" w:rsidR="00000000" w:rsidRPr="00000000">
        <w:rPr>
          <w:i w:val="1"/>
          <w:rtl w:val="0"/>
        </w:rPr>
        <w:t xml:space="preserve"> (</w:t>
      </w:r>
      <w:r w:rsidDel="00000000" w:rsidR="00000000" w:rsidRPr="00000000">
        <w:rPr>
          <w:b w:val="1"/>
          <w:i w:val="1"/>
          <w:rtl w:val="0"/>
        </w:rPr>
        <w:t xml:space="preserve">INCIBE</w:t>
      </w:r>
      <w:r w:rsidDel="00000000" w:rsidR="00000000" w:rsidRPr="00000000">
        <w:rPr>
          <w:i w:val="1"/>
          <w:rtl w:val="0"/>
        </w:rPr>
        <w:t xml:space="preserve">: Spain’s National Cybersecurity Institute) (free, confidential; phone/WhatsApp/Telegram/web form; daily 08:00–23:00). For swift removal of harmful online content (e.g., intimate images), the </w:t>
      </w:r>
      <w:r w:rsidDel="00000000" w:rsidR="00000000" w:rsidRPr="00000000">
        <w:rPr>
          <w:b w:val="1"/>
          <w:i w:val="1"/>
          <w:rtl w:val="0"/>
        </w:rPr>
        <w:t xml:space="preserve">AEPD’s Canal Prioritario</w:t>
      </w:r>
      <w:r w:rsidDel="00000000" w:rsidR="00000000" w:rsidRPr="00000000">
        <w:rPr>
          <w:i w:val="1"/>
          <w:rtl w:val="0"/>
        </w:rPr>
        <w:t xml:space="preserve"> (</w:t>
      </w:r>
      <w:r w:rsidDel="00000000" w:rsidR="00000000" w:rsidRPr="00000000">
        <w:rPr>
          <w:b w:val="1"/>
          <w:i w:val="1"/>
          <w:rtl w:val="0"/>
        </w:rPr>
        <w:t xml:space="preserve">AEPD</w:t>
      </w:r>
      <w:r w:rsidDel="00000000" w:rsidR="00000000" w:rsidRPr="00000000">
        <w:rPr>
          <w:i w:val="1"/>
          <w:rtl w:val="0"/>
        </w:rPr>
        <w:t xml:space="preserve">: Spanish Data Protection Agency) offers an expedited, confidential online process. In addition, many regions operate the </w:t>
      </w:r>
      <w:r w:rsidDel="00000000" w:rsidR="00000000" w:rsidRPr="00000000">
        <w:rPr>
          <w:b w:val="1"/>
          <w:i w:val="1"/>
          <w:rtl w:val="0"/>
        </w:rPr>
        <w:t xml:space="preserve">116 111 child helpline</w:t>
      </w:r>
      <w:r w:rsidDel="00000000" w:rsidR="00000000" w:rsidRPr="00000000">
        <w:rPr>
          <w:i w:val="1"/>
          <w:rtl w:val="0"/>
        </w:rPr>
        <w:t xml:space="preserve"> (often 24/7, free, anonymous/confidential, sometimes with chat/WhatsApp).</w:t>
      </w:r>
      <w:r w:rsidDel="00000000" w:rsidR="00000000" w:rsidRPr="00000000">
        <w:rPr>
          <w:rtl w:val="0"/>
        </w:rPr>
      </w:r>
    </w:p>
    <w:p w:rsidR="00000000" w:rsidDel="00000000" w:rsidP="00000000" w:rsidRDefault="00000000" w:rsidRPr="00000000" w14:paraId="00000010">
      <w:pPr>
        <w:spacing w:after="120"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120" w:line="276" w:lineRule="auto"/>
        <w:jc w:val="both"/>
        <w:rPr>
          <w:b w:val="1"/>
          <w:highlight w:val="yellow"/>
        </w:rPr>
      </w:pPr>
      <w:r w:rsidDel="00000000" w:rsidR="00000000" w:rsidRPr="00000000">
        <w:rPr>
          <w:b w:val="1"/>
          <w:rtl w:val="0"/>
        </w:rPr>
        <w:t xml:space="preserve">3. School-Level Policies and Measures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i w:val="1"/>
        </w:rPr>
      </w:pPr>
      <w:r w:rsidDel="00000000" w:rsidR="00000000" w:rsidRPr="00000000">
        <w:rPr>
          <w:i w:val="1"/>
          <w:rtl w:val="0"/>
        </w:rPr>
        <w:t xml:space="preserve">The Spanish Ministry of Education establishes a common legislative framework for all educational institutions, setting out general guidelines. The 17 autonomous communities of Spain have jurisdiction over compulsory and post-compulsory education. Each community legislates on harassment, establishing protocols for action in cases of harassment and bullying. School duties involve: draft, implement and periodically </w:t>
      </w:r>
      <w:r w:rsidDel="00000000" w:rsidR="00000000" w:rsidRPr="00000000">
        <w:rPr>
          <w:b w:val="1"/>
          <w:i w:val="1"/>
          <w:rtl w:val="0"/>
        </w:rPr>
        <w:t xml:space="preserve">evaluate protocols</w:t>
      </w:r>
      <w:r w:rsidDel="00000000" w:rsidR="00000000" w:rsidRPr="00000000">
        <w:rPr>
          <w:i w:val="1"/>
          <w:rtl w:val="0"/>
        </w:rPr>
        <w:t xml:space="preserve"> for detection, reporting, and response; activate the protocol whenever staff, parents, or pupils detect or report possible violence; and guarantee </w:t>
      </w:r>
      <w:r w:rsidDel="00000000" w:rsidR="00000000" w:rsidRPr="00000000">
        <w:rPr>
          <w:b w:val="1"/>
          <w:i w:val="1"/>
          <w:rtl w:val="0"/>
        </w:rPr>
        <w:t xml:space="preserve">confidentiality</w:t>
      </w:r>
      <w:r w:rsidDel="00000000" w:rsidR="00000000" w:rsidRPr="00000000">
        <w:rPr>
          <w:i w:val="1"/>
          <w:rtl w:val="0"/>
        </w:rPr>
        <w:t xml:space="preserve"> and the protection of victims during procedures.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i w:val="1"/>
        </w:rPr>
      </w:pPr>
      <w:r w:rsidDel="00000000" w:rsidR="00000000" w:rsidRPr="00000000">
        <w:rPr>
          <w:i w:val="1"/>
          <w:rtl w:val="0"/>
        </w:rPr>
        <w:t xml:space="preserve">In all compulsory and post-compulsory educational centers in Spain, regardless of the Autonomous Community where they are located, educational legislation requires them to have a Coexistence Plan, which establishes, on the one hand, prevention programs and, on the other hand, action protocols, in accordance with specific regulations regarding harassment and bullying in educational centers.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i w:val="1"/>
        </w:rPr>
      </w:pPr>
      <w:r w:rsidDel="00000000" w:rsidR="00000000" w:rsidRPr="00000000">
        <w:rPr>
          <w:i w:val="1"/>
          <w:rtl w:val="0"/>
        </w:rPr>
        <w:t xml:space="preserve">School coexistence plans are mandatory in all educational centers, with a delegate coordinator. Some examples of good practices collected at the “Regional Conference on Good Practices in School Coexistence: Experiences in Schools, 2024-2025 Academic Year, in Castile and Leon</w:t>
      </w:r>
      <w:r w:rsidDel="00000000" w:rsidR="00000000" w:rsidRPr="00000000">
        <w:rPr>
          <w:i w:val="1"/>
          <w:vertAlign w:val="superscript"/>
        </w:rPr>
        <w:footnoteReference w:customMarkFollows="0" w:id="0"/>
      </w:r>
      <w:r w:rsidDel="00000000" w:rsidR="00000000" w:rsidRPr="00000000">
        <w:rPr>
          <w:i w:val="1"/>
          <w:rtl w:val="0"/>
        </w:rPr>
        <w:t xml:space="preserve">” are presented.</w:t>
      </w:r>
    </w:p>
    <w:p w:rsidR="00000000" w:rsidDel="00000000" w:rsidP="00000000" w:rsidRDefault="00000000" w:rsidRPr="00000000" w14:paraId="00000015">
      <w:pPr>
        <w:spacing w:after="120" w:line="276" w:lineRule="auto"/>
        <w:ind w:left="720" w:firstLine="0"/>
        <w:jc w:val="both"/>
        <w:rPr>
          <w:i w:val="1"/>
          <w:sz w:val="20"/>
          <w:szCs w:val="20"/>
        </w:rPr>
      </w:pPr>
      <w:r w:rsidDel="00000000" w:rsidR="00000000" w:rsidRPr="00000000">
        <w:rPr>
          <w:rFonts w:ascii="Arial" w:cs="Arial" w:eastAsia="Arial" w:hAnsi="Arial"/>
          <w:b w:val="1"/>
          <w:sz w:val="30"/>
          <w:szCs w:val="30"/>
          <w:rtl w:val="0"/>
        </w:rPr>
        <w:t xml:space="preserve">“ </w:t>
      </w:r>
      <w:r w:rsidDel="00000000" w:rsidR="00000000" w:rsidRPr="00000000">
        <w:rPr>
          <w:b w:val="1"/>
          <w:sz w:val="20"/>
          <w:szCs w:val="20"/>
          <w:rtl w:val="0"/>
        </w:rPr>
        <w:t xml:space="preserve">Alejandro Casona Primary School, Zamora. “</w:t>
      </w:r>
      <w:r w:rsidDel="00000000" w:rsidR="00000000" w:rsidRPr="00000000">
        <w:rPr>
          <w:b w:val="1"/>
          <w:i w:val="1"/>
          <w:sz w:val="20"/>
          <w:szCs w:val="20"/>
          <w:rtl w:val="0"/>
        </w:rPr>
        <w:t xml:space="preserve">We know and respect each other.” </w:t>
      </w:r>
      <w:r w:rsidDel="00000000" w:rsidR="00000000" w:rsidRPr="00000000">
        <w:rPr>
          <w:i w:val="1"/>
          <w:sz w:val="20"/>
          <w:szCs w:val="20"/>
          <w:rtl w:val="0"/>
        </w:rPr>
        <w:t xml:space="preserve">Project to improve coexistence by promoting values such as respect, empathy, and inclusion. The entire educational community participates: families, teachers, parent associations, and students. Coexistence is worked on across all areas of primary and early childhood education. Some of the activities carried out that are worth highlighting are: “The choir of emotions,” “Reflej-arte” (Reflect-yourself). Literature and emotions, and the development of a toolbank with videos, songs, games, etc.; the “venting corner,”  the school's reading corners, the “dialogue circles,” the “friendship bench,” and the “anger management passport.”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sz w:val="20"/>
          <w:szCs w:val="20"/>
        </w:rPr>
      </w:pPr>
      <w:r w:rsidDel="00000000" w:rsidR="00000000" w:rsidRPr="00000000">
        <w:rPr>
          <w:rFonts w:ascii="Arial" w:cs="Arial" w:eastAsia="Arial" w:hAnsi="Arial"/>
          <w:b w:val="1"/>
          <w:sz w:val="30"/>
          <w:szCs w:val="30"/>
          <w:rtl w:val="0"/>
        </w:rPr>
        <w:t xml:space="preserve">“</w:t>
      </w:r>
      <w:r w:rsidDel="00000000" w:rsidR="00000000" w:rsidRPr="00000000">
        <w:rPr>
          <w:b w:val="1"/>
          <w:sz w:val="30"/>
          <w:szCs w:val="30"/>
          <w:rtl w:val="0"/>
        </w:rPr>
        <w:t xml:space="preserve"> </w:t>
      </w:r>
      <w:r w:rsidDel="00000000" w:rsidR="00000000" w:rsidRPr="00000000">
        <w:rPr>
          <w:b w:val="1"/>
          <w:sz w:val="20"/>
          <w:szCs w:val="20"/>
          <w:rtl w:val="0"/>
        </w:rPr>
        <w:t xml:space="preserve">Los Arapiles Rural Center. Salamanca. “Conductometer.” </w:t>
      </w:r>
      <w:r w:rsidDel="00000000" w:rsidR="00000000" w:rsidRPr="00000000">
        <w:rPr>
          <w:sz w:val="20"/>
          <w:szCs w:val="20"/>
          <w:rtl w:val="0"/>
        </w:rPr>
        <w:t xml:space="preserve">Is an initiative to strengthen coexistence by enabling real-time reporting and tracking of disruptive behavior. Using a form and a QR code that sends immediate alerts to management and teachers, it ensures prompt resolution of conflicts and allows teachers to adapt their next session if issues remain. It also maintains a written record of incidents, measures taken, and people involved, and its flexible design allows it to be tailored to the school’s needs.</w:t>
      </w:r>
      <w:r w:rsidDel="00000000" w:rsidR="00000000" w:rsidRPr="00000000">
        <w:rPr>
          <w:i w:val="1"/>
          <w:sz w:val="20"/>
          <w:szCs w:val="20"/>
          <w:rtl w:val="0"/>
        </w:rPr>
        <w:t xml:space="preserve"> </w:t>
      </w:r>
      <w:r w:rsidDel="00000000" w:rsidR="00000000" w:rsidRPr="00000000">
        <w:rPr>
          <w:sz w:val="20"/>
          <w:szCs w:val="20"/>
          <w:rtl w:val="0"/>
        </w:rPr>
        <w:t xml:space="preserve">Teachers review the reports before their next class, allowing them to see whether a conflict has been resolved or still requires attention. They can then adjust their teaching approach to help address the issue. The system keeps a written record of incidents, the measures taken, and the people involved, and its flexible design allows it to be adapted to the school’s specific needs.</w:t>
      </w:r>
    </w:p>
    <w:p w:rsidR="00000000" w:rsidDel="00000000" w:rsidP="00000000" w:rsidRDefault="00000000" w:rsidRPr="00000000" w14:paraId="00000017">
      <w:pPr>
        <w:spacing w:after="120" w:line="276" w:lineRule="auto"/>
        <w:ind w:left="720" w:firstLine="0"/>
        <w:jc w:val="both"/>
        <w:rPr>
          <w:i w:val="1"/>
          <w:sz w:val="20"/>
          <w:szCs w:val="20"/>
        </w:rPr>
      </w:pPr>
      <w:r w:rsidDel="00000000" w:rsidR="00000000" w:rsidRPr="00000000">
        <w:rPr>
          <w:rFonts w:ascii="Arial" w:cs="Arial" w:eastAsia="Arial" w:hAnsi="Arial"/>
          <w:b w:val="1"/>
          <w:sz w:val="30"/>
          <w:szCs w:val="30"/>
          <w:rtl w:val="0"/>
        </w:rPr>
        <w:t xml:space="preserve">“</w:t>
      </w:r>
      <w:r w:rsidDel="00000000" w:rsidR="00000000" w:rsidRPr="00000000">
        <w:rPr>
          <w:b w:val="1"/>
          <w:sz w:val="30"/>
          <w:szCs w:val="30"/>
          <w:rtl w:val="0"/>
        </w:rPr>
        <w:t xml:space="preserve"> </w:t>
      </w:r>
      <w:r w:rsidDel="00000000" w:rsidR="00000000" w:rsidRPr="00000000">
        <w:rPr>
          <w:b w:val="1"/>
          <w:sz w:val="20"/>
          <w:szCs w:val="20"/>
          <w:rtl w:val="0"/>
        </w:rPr>
        <w:t xml:space="preserve">El Pradillo Preschool and Primary School, Ávila. </w:t>
      </w:r>
      <w:r w:rsidDel="00000000" w:rsidR="00000000" w:rsidRPr="00000000">
        <w:rPr>
          <w:b w:val="1"/>
          <w:i w:val="1"/>
          <w:sz w:val="20"/>
          <w:szCs w:val="20"/>
          <w:rtl w:val="0"/>
        </w:rPr>
        <w:t xml:space="preserve">“C@nvive”, how to promote coexistence through the digitization of schools.  </w:t>
      </w:r>
      <w:r w:rsidDel="00000000" w:rsidR="00000000" w:rsidRPr="00000000">
        <w:rPr>
          <w:i w:val="1"/>
          <w:sz w:val="20"/>
          <w:szCs w:val="20"/>
          <w:rtl w:val="0"/>
        </w:rPr>
        <w:t xml:space="preserve">Coexistence in schools is supported by digital tools, requiring teachers to be proficient with platforms and communication systems. The whole educational community—families, teachers, parent associations, students, and staff—takes part in activities planned in the school’s Annual General Program to meet students’ social needs. A cyber-coexistence plan includes protocols for addressing cyberbullying, built on the school’s Educational Project and Tutorial Action Plan. Management is urged to adopt a comprehensive approach, with the coexistence coordinator playing a key role. The protocol defines staff, student, and family involvement, teacher and student training, as well as procedures for detecting and handling conflicts. A virtual classroom promotes safe internet use. Tools such as the Sociescuela coexistence test (provided by the Regional Government of Castile and León) and the IRIS platform help diagnose coexistence issues, monitor device use, and share information with families. Training for teachers, families, staff, and external partners strengthens the joint effort to prevent and address cyberbullying. They follow the guidelines of the main institutional platforms in the fight against cyberbullying: the Digital Security and Trust Plan of the Regional Government of Castile and León, the AseguraTIC program of the INTEF, and the proposals of Internet Segura para el Alumnado (Safe Internet for Students) of the INCIBE, the National Cybersecurity Institute, which belongs to the Ministry for Digital Transformation and Public Administration.</w:t>
      </w:r>
    </w:p>
    <w:p w:rsidR="00000000" w:rsidDel="00000000" w:rsidP="00000000" w:rsidRDefault="00000000" w:rsidRPr="00000000" w14:paraId="00000018">
      <w:pPr>
        <w:spacing w:after="120"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120" w:line="276" w:lineRule="auto"/>
        <w:jc w:val="both"/>
        <w:rPr>
          <w:b w:val="1"/>
          <w:highlight w:val="yellow"/>
        </w:rPr>
      </w:pPr>
      <w:r w:rsidDel="00000000" w:rsidR="00000000" w:rsidRPr="00000000">
        <w:rPr>
          <w:b w:val="1"/>
          <w:rtl w:val="0"/>
        </w:rPr>
        <w:t xml:space="preserve">4. Teacher Training and Capacity Building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i w:val="1"/>
        </w:rPr>
      </w:pPr>
      <w:r w:rsidDel="00000000" w:rsidR="00000000" w:rsidRPr="00000000">
        <w:rPr>
          <w:i w:val="1"/>
          <w:rtl w:val="0"/>
        </w:rPr>
        <w:t xml:space="preserve">In </w:t>
      </w:r>
      <w:r w:rsidDel="00000000" w:rsidR="00000000" w:rsidRPr="00000000">
        <w:rPr>
          <w:i w:val="1"/>
          <w:rtl w:val="0"/>
        </w:rPr>
        <w:t xml:space="preserve">Spain teacher training on bullying, cyberbullying and life-skills is delivered through a mixed national–regional model: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i w:val="1"/>
        </w:rPr>
      </w:pPr>
      <w:r w:rsidDel="00000000" w:rsidR="00000000" w:rsidRPr="00000000">
        <w:rPr>
          <w:b w:val="1"/>
          <w:i w:val="1"/>
          <w:rtl w:val="0"/>
        </w:rPr>
        <w:t xml:space="preserve">National (Ministry/INTEF).</w:t>
      </w:r>
      <w:r w:rsidDel="00000000" w:rsidR="00000000" w:rsidRPr="00000000">
        <w:rPr>
          <w:i w:val="1"/>
          <w:rtl w:val="0"/>
        </w:rPr>
        <w:t xml:space="preserve"> National Institute of Educational Technologies and Teacher Training (INTEF) offers online open courses (MOOCs/NOOCs/SPOOCs) and tutored courses. Examples directly focused on bullying/cyberbullying include the INTEF NOOC “School bullying is not a child’s game” (objectives: defining bullying, early detection, and intervention) and recommended SPOOCs on Cyberbullying. These activities issue open digital micro-credentials and (for tutored courses) official certification.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i w:val="1"/>
        </w:rPr>
      </w:pPr>
      <w:r w:rsidDel="00000000" w:rsidR="00000000" w:rsidRPr="00000000">
        <w:rPr>
          <w:b w:val="1"/>
          <w:i w:val="1"/>
          <w:rtl w:val="0"/>
        </w:rPr>
        <w:t xml:space="preserve">National (Interior/Police).</w:t>
      </w:r>
      <w:r w:rsidDel="00000000" w:rsidR="00000000" w:rsidRPr="00000000">
        <w:rPr>
          <w:i w:val="1"/>
          <w:rtl w:val="0"/>
        </w:rPr>
        <w:t xml:space="preserve"> Master Plan for Coexistence and the Improvement of Safety in Schools and their Surroundings (Ministry of the Interior) organizes recurring awareness and training sessions for students, families, and teachers on online risks, bullying and cyberbullying, delivered by Policía Nacional/Guardia Civil in schools.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b w:val="1"/>
          <w:i w:val="1"/>
        </w:rPr>
      </w:pPr>
      <w:r w:rsidDel="00000000" w:rsidR="00000000" w:rsidRPr="00000000">
        <w:rPr>
          <w:b w:val="1"/>
          <w:i w:val="1"/>
          <w:rtl w:val="0"/>
        </w:rPr>
        <w:t xml:space="preserve">National (INCIBE/IS4K).</w:t>
      </w:r>
      <w:r w:rsidDel="00000000" w:rsidR="00000000" w:rsidRPr="00000000">
        <w:rPr>
          <w:i w:val="1"/>
          <w:rtl w:val="0"/>
        </w:rPr>
        <w:t xml:space="preserve"> Spain’s National Cybersecurity Institute (INCIBE) runs the </w:t>
      </w:r>
      <w:r w:rsidDel="00000000" w:rsidR="00000000" w:rsidRPr="00000000">
        <w:rPr>
          <w:b w:val="1"/>
          <w:i w:val="1"/>
          <w:rtl w:val="0"/>
        </w:rPr>
        <w:t xml:space="preserve">Safer Internet for Kids (IS4K)</w:t>
      </w:r>
      <w:r w:rsidDel="00000000" w:rsidR="00000000" w:rsidRPr="00000000">
        <w:rPr>
          <w:i w:val="1"/>
          <w:rtl w:val="0"/>
        </w:rPr>
        <w:t xml:space="preserve"> programme, which offers training, webinars and didactic materials for educators, alongside the national 017 helpline for advice on cyberbullying and other online risks.</w:t>
      </w:r>
      <w:hyperlink r:id="rId9">
        <w:r w:rsidDel="00000000" w:rsidR="00000000" w:rsidRPr="00000000">
          <w:rPr>
            <w:i w:val="1"/>
            <w:rtl w:val="0"/>
          </w:rPr>
          <w:t xml:space="preserve"> </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b w:val="1"/>
          <w:i w:val="1"/>
        </w:rPr>
      </w:pPr>
      <w:r w:rsidDel="00000000" w:rsidR="00000000" w:rsidRPr="00000000">
        <w:rPr>
          <w:b w:val="1"/>
          <w:i w:val="1"/>
          <w:rtl w:val="0"/>
        </w:rPr>
        <w:t xml:space="preserve">Coordination and guidance.</w:t>
      </w:r>
      <w:r w:rsidDel="00000000" w:rsidR="00000000" w:rsidRPr="00000000">
        <w:rPr>
          <w:i w:val="1"/>
          <w:rtl w:val="0"/>
        </w:rPr>
        <w:t xml:space="preserve"> The </w:t>
      </w:r>
      <w:r w:rsidDel="00000000" w:rsidR="00000000" w:rsidRPr="00000000">
        <w:rPr>
          <w:b w:val="1"/>
          <w:i w:val="1"/>
          <w:rtl w:val="0"/>
        </w:rPr>
        <w:t xml:space="preserve">State Observatory for School Coexistence</w:t>
      </w:r>
      <w:r w:rsidDel="00000000" w:rsidR="00000000" w:rsidRPr="00000000">
        <w:rPr>
          <w:i w:val="1"/>
          <w:rtl w:val="0"/>
        </w:rPr>
        <w:t xml:space="preserve"> coordinates national policy, studies and guidance lines—including digital relationships and safe technology use—often coupled with national “jornadas” for school “well-being and protection coordinators.”</w:t>
      </w:r>
      <w:hyperlink r:id="rId10">
        <w:r w:rsidDel="00000000" w:rsidR="00000000" w:rsidRPr="00000000">
          <w:rPr>
            <w:i w:val="1"/>
            <w:rtl w:val="0"/>
          </w:rPr>
          <w:t xml:space="preserve"> </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i w:val="1"/>
        </w:rPr>
      </w:pPr>
      <w:r w:rsidDel="00000000" w:rsidR="00000000" w:rsidRPr="00000000">
        <w:rPr>
          <w:b w:val="1"/>
          <w:i w:val="1"/>
          <w:rtl w:val="0"/>
        </w:rPr>
        <w:t xml:space="preserve">Regional implementation.</w:t>
      </w:r>
      <w:r w:rsidDel="00000000" w:rsidR="00000000" w:rsidRPr="00000000">
        <w:rPr>
          <w:i w:val="1"/>
          <w:rtl w:val="0"/>
        </w:rPr>
        <w:t xml:space="preserve"> Autonomous Communities operate teacher-training centres (CEP/CFIE/CRFP) that adapt and deliver courses locally. Illustrative examples include Castilla-La Mancha’s resources on well-being and protection in schools and Cantabria’s CEP courses on protection and good treatment—both covering bullying/cyberbullying prevention.</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i w:val="1"/>
        </w:rPr>
      </w:pPr>
      <w:r w:rsidDel="00000000" w:rsidR="00000000" w:rsidRPr="00000000">
        <w:rPr>
          <w:i w:val="1"/>
          <w:rtl w:val="0"/>
        </w:rPr>
        <w:t xml:space="preserve">There is not a single nationwide quota of compulsory annual hours on bullying/cyberbullying. Continuous professional development (CPD) is a right and duty under national law, and recognised activities follow national certification rules (see below). The LOPIVI Law 8/2021 promotes staff training in prevention, early detection and protection regarding bullying and cyberbullying; specific training requirements are set by each Autonomous Community.</w:t>
      </w:r>
      <w:hyperlink r:id="rId11">
        <w:r w:rsidDel="00000000" w:rsidR="00000000" w:rsidRPr="00000000">
          <w:rPr>
            <w:i w:val="1"/>
            <w:rtl w:val="0"/>
          </w:rPr>
          <w:t xml:space="preserve"> </w:t>
        </w:r>
      </w:hyperlink>
      <w:r w:rsidDel="00000000" w:rsidR="00000000" w:rsidRPr="00000000">
        <w:rPr>
          <w:b w:val="1"/>
          <w:i w:val="1"/>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b w:val="1"/>
          <w:i w:val="1"/>
        </w:rPr>
      </w:pPr>
      <w:r w:rsidDel="00000000" w:rsidR="00000000" w:rsidRPr="00000000">
        <w:rPr>
          <w:b w:val="1"/>
          <w:i w:val="1"/>
          <w:rtl w:val="0"/>
        </w:rPr>
        <w:t xml:space="preserve">Certification rules.</w:t>
      </w:r>
      <w:r w:rsidDel="00000000" w:rsidR="00000000" w:rsidRPr="00000000">
        <w:rPr>
          <w:i w:val="1"/>
          <w:rtl w:val="0"/>
        </w:rPr>
        <w:t xml:space="preserve"> For activities recognised by the Ministry, Order EDU/2886/2011 regulates the recognition, certification and registry of Teacher Permanent Training. It specifies modalities (courses, seminars, groups, school-based projects, congresses), minimum durations (e.g., ≥20 hours for courses to be certified), delivery formats (in-person/online/mixed) and attendance/evaluation conditions. Regions operate analogous systems for their own recognised training.</w:t>
      </w:r>
      <w:hyperlink r:id="rId12">
        <w:r w:rsidDel="00000000" w:rsidR="00000000" w:rsidRPr="00000000">
          <w:rPr>
            <w:i w:val="1"/>
            <w:rtl w:val="0"/>
          </w:rPr>
          <w:t xml:space="preserve"> </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i w:val="1"/>
        </w:rPr>
      </w:pPr>
      <w:r w:rsidDel="00000000" w:rsidR="00000000" w:rsidRPr="00000000">
        <w:rPr>
          <w:b w:val="1"/>
          <w:i w:val="1"/>
          <w:rtl w:val="0"/>
        </w:rPr>
        <w:t xml:space="preserve">E-learning platforms</w:t>
      </w:r>
      <w:r w:rsidDel="00000000" w:rsidR="00000000" w:rsidRPr="00000000">
        <w:rPr>
          <w:i w:val="1"/>
          <w:rtl w:val="0"/>
        </w:rPr>
        <w:t xml:space="preserve">. INTEF provides two national platforms:</w:t>
      </w:r>
    </w:p>
    <w:p w:rsidR="00000000" w:rsidDel="00000000" w:rsidP="00000000" w:rsidRDefault="00000000" w:rsidRPr="00000000" w14:paraId="00000023">
      <w:pPr>
        <w:numPr>
          <w:ilvl w:val="0"/>
          <w:numId w:val="1"/>
        </w:numPr>
        <w:spacing w:after="0" w:afterAutospacing="0" w:before="240" w:line="276" w:lineRule="auto"/>
        <w:ind w:left="1440" w:hanging="360"/>
        <w:rPr>
          <w:i w:val="1"/>
        </w:rPr>
      </w:pPr>
      <w:r w:rsidDel="00000000" w:rsidR="00000000" w:rsidRPr="00000000">
        <w:rPr>
          <w:i w:val="1"/>
          <w:rtl w:val="0"/>
        </w:rPr>
        <w:t xml:space="preserve">formacion.intef.es (tutored online courses) — successful completion yields official certificates with hours recorded in the national CPD register.</w:t>
      </w:r>
      <w:hyperlink r:id="rId13">
        <w:r w:rsidDel="00000000" w:rsidR="00000000" w:rsidRPr="00000000">
          <w:rPr>
            <w:i w:val="1"/>
            <w:rtl w:val="0"/>
          </w:rPr>
          <w:t xml:space="preserve"> </w:t>
        </w:r>
      </w:hyperlink>
      <w:r w:rsidDel="00000000" w:rsidR="00000000" w:rsidRPr="00000000">
        <w:rPr>
          <w:rtl w:val="0"/>
        </w:rPr>
      </w:r>
    </w:p>
    <w:p w:rsidR="00000000" w:rsidDel="00000000" w:rsidP="00000000" w:rsidRDefault="00000000" w:rsidRPr="00000000" w14:paraId="00000024">
      <w:pPr>
        <w:numPr>
          <w:ilvl w:val="0"/>
          <w:numId w:val="1"/>
        </w:numPr>
        <w:spacing w:after="240" w:before="0" w:beforeAutospacing="0" w:line="276" w:lineRule="auto"/>
        <w:ind w:left="1440" w:hanging="360"/>
        <w:rPr>
          <w:i w:val="1"/>
        </w:rPr>
      </w:pPr>
      <w:r w:rsidDel="00000000" w:rsidR="00000000" w:rsidRPr="00000000">
        <w:rPr>
          <w:i w:val="1"/>
          <w:rtl w:val="0"/>
        </w:rPr>
        <w:t xml:space="preserve">enlinea.intef.es (MOOCs/NOOCs/SPOOCs) — open courses offering digital badges (“Insignias INTEF”), which recognise learning but do not certify hours.</w:t>
      </w:r>
      <w:hyperlink r:id="rId14">
        <w:r w:rsidDel="00000000" w:rsidR="00000000" w:rsidRPr="00000000">
          <w:rPr>
            <w:i w:val="1"/>
            <w:rtl w:val="0"/>
          </w:rPr>
          <w:t xml:space="preserve"> </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i w:val="1"/>
        </w:rPr>
      </w:pPr>
      <w:r w:rsidDel="00000000" w:rsidR="00000000" w:rsidRPr="00000000">
        <w:rPr>
          <w:b w:val="1"/>
          <w:i w:val="1"/>
          <w:rtl w:val="0"/>
        </w:rPr>
        <w:t xml:space="preserve">Competency frameworks/certification.</w:t>
      </w:r>
      <w:r w:rsidDel="00000000" w:rsidR="00000000" w:rsidRPr="00000000">
        <w:rPr>
          <w:i w:val="1"/>
          <w:rtl w:val="0"/>
        </w:rPr>
        <w:t xml:space="preserve"> Spanish Framework for Teaching Digital Competence —approved by the Education Sectoral Conference and published in the BOE—underpins multi-level teacher accreditation (A1–C2). Cyber-safety, well-being and online risk prevention (Area 4: Security) are explicit components, and INTEF courses (including those on bullying/cyberbullying) can contribute to digital competence accreditation pathways defined nationally and implemented regionally.</w:t>
      </w:r>
      <w:hyperlink r:id="rId15">
        <w:r w:rsidDel="00000000" w:rsidR="00000000" w:rsidRPr="00000000">
          <w:rPr>
            <w:i w:val="1"/>
            <w:rtl w:val="0"/>
          </w:rPr>
          <w:t xml:space="preserve"> </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i w:val="1"/>
          <w:color w:val="ff0000"/>
        </w:rPr>
      </w:pPr>
      <w:r w:rsidDel="00000000" w:rsidR="00000000" w:rsidRPr="00000000">
        <w:rPr>
          <w:b w:val="1"/>
          <w:i w:val="1"/>
          <w:rtl w:val="0"/>
        </w:rPr>
        <w:t xml:space="preserve">Other national offers.</w:t>
      </w:r>
      <w:r w:rsidDel="00000000" w:rsidR="00000000" w:rsidRPr="00000000">
        <w:rPr>
          <w:i w:val="1"/>
          <w:rtl w:val="0"/>
        </w:rPr>
        <w:t xml:space="preserve"> INCIBE/IS4K provides free e-learning/webinars (participation certificates may be issued but are not Ministry CPD certificates), and Spanish teachers also access EU-level courses (e.g., European Schoolnet Academy’s Child Online Safety).</w:t>
      </w:r>
      <w:hyperlink r:id="rId16">
        <w:r w:rsidDel="00000000" w:rsidR="00000000" w:rsidRPr="00000000">
          <w:rPr>
            <w:i w:val="1"/>
            <w:rtl w:val="0"/>
          </w:rPr>
          <w:t xml:space="preserve"> </w:t>
        </w:r>
      </w:hyperlink>
      <w:r w:rsidDel="00000000" w:rsidR="00000000" w:rsidRPr="00000000">
        <w:rPr>
          <w:rtl w:val="0"/>
        </w:rPr>
      </w:r>
    </w:p>
    <w:p w:rsidR="00000000" w:rsidDel="00000000" w:rsidP="00000000" w:rsidRDefault="00000000" w:rsidRPr="00000000" w14:paraId="00000027">
      <w:pPr>
        <w:spacing w:after="120"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120" w:line="276" w:lineRule="auto"/>
        <w:jc w:val="both"/>
        <w:rPr>
          <w:i w:val="1"/>
          <w:color w:val="ff0000"/>
        </w:rPr>
      </w:pPr>
      <w:r w:rsidDel="00000000" w:rsidR="00000000" w:rsidRPr="00000000">
        <w:rPr>
          <w:b w:val="1"/>
          <w:rtl w:val="0"/>
        </w:rPr>
        <w:t xml:space="preserve">5. Relevant Publications, Reports, and Researc</w:t>
      </w:r>
      <w:r w:rsidDel="00000000" w:rsidR="00000000" w:rsidRPr="00000000">
        <w:rPr>
          <w:b w:val="1"/>
          <w:rtl w:val="0"/>
        </w:rPr>
        <w:t xml:space="preserve">h </w:t>
      </w:r>
      <w:r w:rsidDel="00000000" w:rsidR="00000000" w:rsidRPr="00000000">
        <w:rPr>
          <w:rtl w:val="0"/>
        </w:rPr>
      </w:r>
    </w:p>
    <w:p w:rsidR="00000000" w:rsidDel="00000000" w:rsidP="00000000" w:rsidRDefault="00000000" w:rsidRPr="00000000" w14:paraId="00000029">
      <w:pPr>
        <w:numPr>
          <w:ilvl w:val="0"/>
          <w:numId w:val="2"/>
        </w:numPr>
        <w:spacing w:after="0" w:line="240" w:lineRule="auto"/>
        <w:ind w:left="425.19685039370086" w:hanging="360"/>
        <w:rPr>
          <w:sz w:val="20"/>
          <w:szCs w:val="20"/>
          <w:u w:val="none"/>
        </w:rPr>
      </w:pPr>
      <w:r w:rsidDel="00000000" w:rsidR="00000000" w:rsidRPr="00000000">
        <w:rPr>
          <w:sz w:val="20"/>
          <w:szCs w:val="20"/>
          <w:rtl w:val="0"/>
        </w:rPr>
        <w:t xml:space="preserve">Bernabé, R. (2022). </w:t>
      </w:r>
      <w:r w:rsidDel="00000000" w:rsidR="00000000" w:rsidRPr="00000000">
        <w:rPr>
          <w:i w:val="1"/>
          <w:sz w:val="20"/>
          <w:szCs w:val="20"/>
          <w:rtl w:val="0"/>
        </w:rPr>
        <w:t xml:space="preserve">Acoso escolar. Propuesta de sensibilización para el profesorado de Infantil y Primaria.</w:t>
      </w:r>
      <w:r w:rsidDel="00000000" w:rsidR="00000000" w:rsidRPr="00000000">
        <w:rPr>
          <w:sz w:val="20"/>
          <w:szCs w:val="20"/>
          <w:rtl w:val="0"/>
        </w:rPr>
        <w:t xml:space="preserve"> Pirámide.</w:t>
      </w:r>
      <w:hyperlink r:id="rId17">
        <w:r w:rsidDel="00000000" w:rsidR="00000000" w:rsidRPr="00000000">
          <w:rPr>
            <w:sz w:val="20"/>
            <w:szCs w:val="20"/>
            <w:rtl w:val="0"/>
          </w:rPr>
          <w:t xml:space="preserve"> </w:t>
        </w:r>
      </w:hyperlink>
      <w:hyperlink r:id="rId18">
        <w:r w:rsidDel="00000000" w:rsidR="00000000" w:rsidRPr="00000000">
          <w:rPr>
            <w:color w:val="1155cc"/>
            <w:sz w:val="20"/>
            <w:szCs w:val="20"/>
            <w:u w:val="single"/>
            <w:rtl w:val="0"/>
          </w:rPr>
          <w:t xml:space="preserve">https://www.edicionespiramide.es/libro/psicologia/acoso-escolar-rosa-bernabe-martinez-9788436847147/</w:t>
        </w:r>
      </w:hyperlink>
      <w:r w:rsidDel="00000000" w:rsidR="00000000" w:rsidRPr="00000000">
        <w:rPr>
          <w:rtl w:val="0"/>
        </w:rPr>
      </w:r>
    </w:p>
    <w:p w:rsidR="00000000" w:rsidDel="00000000" w:rsidP="00000000" w:rsidRDefault="00000000" w:rsidRPr="00000000" w14:paraId="0000002A">
      <w:pPr>
        <w:numPr>
          <w:ilvl w:val="0"/>
          <w:numId w:val="2"/>
        </w:numPr>
        <w:spacing w:after="0" w:line="240" w:lineRule="auto"/>
        <w:ind w:left="425.19685039370086" w:hanging="360"/>
        <w:rPr>
          <w:sz w:val="20"/>
          <w:szCs w:val="20"/>
          <w:u w:val="none"/>
        </w:rPr>
      </w:pPr>
      <w:r w:rsidDel="00000000" w:rsidR="00000000" w:rsidRPr="00000000">
        <w:rPr>
          <w:sz w:val="20"/>
          <w:szCs w:val="20"/>
          <w:rtl w:val="0"/>
        </w:rPr>
        <w:t xml:space="preserve">Díaz-Aguado, M. J. (2024). </w:t>
      </w:r>
      <w:r w:rsidDel="00000000" w:rsidR="00000000" w:rsidRPr="00000000">
        <w:rPr>
          <w:i w:val="1"/>
          <w:sz w:val="20"/>
          <w:szCs w:val="20"/>
          <w:rtl w:val="0"/>
        </w:rPr>
        <w:t xml:space="preserve">Indicadores para evaluar y mejorar la convivencia Escolar. </w:t>
      </w:r>
      <w:r w:rsidDel="00000000" w:rsidR="00000000" w:rsidRPr="00000000">
        <w:rPr>
          <w:sz w:val="20"/>
          <w:szCs w:val="20"/>
          <w:rtl w:val="0"/>
        </w:rPr>
        <w:t xml:space="preserve">Ministerio de Educación, Formación Profesional y Deportes. </w:t>
      </w:r>
      <w:hyperlink r:id="rId19">
        <w:r w:rsidDel="00000000" w:rsidR="00000000" w:rsidRPr="00000000">
          <w:rPr>
            <w:color w:val="1155cc"/>
            <w:sz w:val="20"/>
            <w:szCs w:val="20"/>
            <w:u w:val="single"/>
            <w:rtl w:val="0"/>
          </w:rPr>
          <w:t xml:space="preserve">https://www.libreria.educacion.gob.es/libro/indicadores-para-evaluar-y-mejorar-la-convivencia-escolar_184428/</w:t>
        </w:r>
      </w:hyperlink>
      <w:r w:rsidDel="00000000" w:rsidR="00000000" w:rsidRPr="00000000">
        <w:rPr>
          <w:sz w:val="20"/>
          <w:szCs w:val="20"/>
          <w:rtl w:val="0"/>
        </w:rPr>
        <w:t xml:space="preserve"> </w:t>
      </w:r>
    </w:p>
    <w:p w:rsidR="00000000" w:rsidDel="00000000" w:rsidP="00000000" w:rsidRDefault="00000000" w:rsidRPr="00000000" w14:paraId="0000002B">
      <w:pPr>
        <w:numPr>
          <w:ilvl w:val="0"/>
          <w:numId w:val="2"/>
        </w:numPr>
        <w:spacing w:after="0" w:line="240" w:lineRule="auto"/>
        <w:ind w:left="425.19685039370086" w:hanging="360"/>
        <w:rPr>
          <w:sz w:val="20"/>
          <w:szCs w:val="20"/>
          <w:u w:val="none"/>
        </w:rPr>
      </w:pPr>
      <w:r w:rsidDel="00000000" w:rsidR="00000000" w:rsidRPr="00000000">
        <w:rPr>
          <w:sz w:val="20"/>
          <w:szCs w:val="20"/>
          <w:rtl w:val="0"/>
        </w:rPr>
        <w:t xml:space="preserve">García-Martínez, S., &amp; García-Zabaleta, E. (2024). El acoso escolar en España. Revisión y análisis de los protocolos de actuación por comunidades autónomas. </w:t>
      </w:r>
      <w:r w:rsidDel="00000000" w:rsidR="00000000" w:rsidRPr="00000000">
        <w:rPr>
          <w:i w:val="1"/>
          <w:sz w:val="20"/>
          <w:szCs w:val="20"/>
          <w:rtl w:val="0"/>
        </w:rPr>
        <w:t xml:space="preserve">Contextos Educativos, 33,</w:t>
      </w:r>
      <w:r w:rsidDel="00000000" w:rsidR="00000000" w:rsidRPr="00000000">
        <w:rPr>
          <w:sz w:val="20"/>
          <w:szCs w:val="20"/>
          <w:rtl w:val="0"/>
        </w:rPr>
        <w:t xml:space="preserve"> 193-217.</w:t>
      </w:r>
      <w:hyperlink r:id="rId20">
        <w:r w:rsidDel="00000000" w:rsidR="00000000" w:rsidRPr="00000000">
          <w:rPr>
            <w:sz w:val="20"/>
            <w:szCs w:val="20"/>
            <w:rtl w:val="0"/>
          </w:rPr>
          <w:t xml:space="preserve"> </w:t>
        </w:r>
      </w:hyperlink>
      <w:hyperlink r:id="rId21">
        <w:r w:rsidDel="00000000" w:rsidR="00000000" w:rsidRPr="00000000">
          <w:rPr>
            <w:color w:val="1155cc"/>
            <w:sz w:val="20"/>
            <w:szCs w:val="20"/>
            <w:u w:val="single"/>
            <w:rtl w:val="0"/>
          </w:rPr>
          <w:t xml:space="preserve">http://doi.org/10.18172/con.5765</w:t>
        </w:r>
      </w:hyperlink>
      <w:r w:rsidDel="00000000" w:rsidR="00000000" w:rsidRPr="00000000">
        <w:rPr>
          <w:sz w:val="20"/>
          <w:szCs w:val="20"/>
          <w:rtl w:val="0"/>
        </w:rPr>
        <w:t xml:space="preserve"> </w:t>
      </w:r>
    </w:p>
    <w:p w:rsidR="00000000" w:rsidDel="00000000" w:rsidP="00000000" w:rsidRDefault="00000000" w:rsidRPr="00000000" w14:paraId="0000002C">
      <w:pPr>
        <w:numPr>
          <w:ilvl w:val="0"/>
          <w:numId w:val="2"/>
        </w:numPr>
        <w:spacing w:after="0" w:line="240" w:lineRule="auto"/>
        <w:ind w:left="425.19685039370086" w:hanging="360"/>
        <w:rPr>
          <w:sz w:val="20"/>
          <w:szCs w:val="20"/>
          <w:u w:val="none"/>
        </w:rPr>
      </w:pPr>
      <w:r w:rsidDel="00000000" w:rsidR="00000000" w:rsidRPr="00000000">
        <w:rPr>
          <w:sz w:val="20"/>
          <w:szCs w:val="20"/>
          <w:rtl w:val="0"/>
        </w:rPr>
        <w:t xml:space="preserve">González Laguna, M. V. &amp; Arrimada García, M. (2021). Análisis comparativo de instrumentos destinados a la evaluación del acoso escolar. </w:t>
      </w:r>
      <w:r w:rsidDel="00000000" w:rsidR="00000000" w:rsidRPr="00000000">
        <w:rPr>
          <w:i w:val="1"/>
          <w:sz w:val="20"/>
          <w:szCs w:val="20"/>
          <w:rtl w:val="0"/>
        </w:rPr>
        <w:t xml:space="preserve">Papeles del Psicólogo, 42</w:t>
      </w:r>
      <w:r w:rsidDel="00000000" w:rsidR="00000000" w:rsidRPr="00000000">
        <w:rPr>
          <w:sz w:val="20"/>
          <w:szCs w:val="20"/>
          <w:rtl w:val="0"/>
        </w:rPr>
        <w:t xml:space="preserve">(3), 222 - 229.</w:t>
      </w:r>
      <w:hyperlink r:id="rId22">
        <w:r w:rsidDel="00000000" w:rsidR="00000000" w:rsidRPr="00000000">
          <w:rPr>
            <w:sz w:val="20"/>
            <w:szCs w:val="20"/>
            <w:rtl w:val="0"/>
          </w:rPr>
          <w:t xml:space="preserve"> </w:t>
        </w:r>
      </w:hyperlink>
      <w:hyperlink r:id="rId23">
        <w:r w:rsidDel="00000000" w:rsidR="00000000" w:rsidRPr="00000000">
          <w:rPr>
            <w:color w:val="1155cc"/>
            <w:sz w:val="20"/>
            <w:szCs w:val="20"/>
            <w:u w:val="single"/>
            <w:rtl w:val="0"/>
          </w:rPr>
          <w:t xml:space="preserve">https://dx.doi.org/10.23923/pap.psicol.2965</w:t>
        </w:r>
      </w:hyperlink>
      <w:r w:rsidDel="00000000" w:rsidR="00000000" w:rsidRPr="00000000">
        <w:rPr>
          <w:rtl w:val="0"/>
        </w:rPr>
      </w:r>
    </w:p>
    <w:p w:rsidR="00000000" w:rsidDel="00000000" w:rsidP="00000000" w:rsidRDefault="00000000" w:rsidRPr="00000000" w14:paraId="0000002D">
      <w:pPr>
        <w:numPr>
          <w:ilvl w:val="0"/>
          <w:numId w:val="2"/>
        </w:numPr>
        <w:spacing w:after="0" w:line="240" w:lineRule="auto"/>
        <w:ind w:left="425.19685039370086" w:hanging="360"/>
        <w:rPr>
          <w:sz w:val="20"/>
          <w:szCs w:val="20"/>
          <w:u w:val="none"/>
        </w:rPr>
      </w:pPr>
      <w:r w:rsidDel="00000000" w:rsidR="00000000" w:rsidRPr="00000000">
        <w:rPr>
          <w:sz w:val="20"/>
          <w:szCs w:val="20"/>
          <w:rtl w:val="0"/>
        </w:rPr>
        <w:t xml:space="preserve">Prendes Espinosa, M. P., &amp; González Calatayud, V. (Coords.) (2020). </w:t>
      </w:r>
      <w:r w:rsidDel="00000000" w:rsidR="00000000" w:rsidRPr="00000000">
        <w:rPr>
          <w:i w:val="1"/>
          <w:sz w:val="20"/>
          <w:szCs w:val="20"/>
          <w:rtl w:val="0"/>
        </w:rPr>
        <w:t xml:space="preserve">Acoso y Ciberacoso en la escuela. La vulnerabilidad de las personas con necesidades educativas especiales.</w:t>
      </w:r>
      <w:r w:rsidDel="00000000" w:rsidR="00000000" w:rsidRPr="00000000">
        <w:rPr>
          <w:sz w:val="20"/>
          <w:szCs w:val="20"/>
          <w:rtl w:val="0"/>
        </w:rPr>
        <w:t xml:space="preserve"> Octaedro.</w:t>
      </w:r>
      <w:hyperlink r:id="rId24">
        <w:r w:rsidDel="00000000" w:rsidR="00000000" w:rsidRPr="00000000">
          <w:rPr>
            <w:sz w:val="20"/>
            <w:szCs w:val="20"/>
            <w:rtl w:val="0"/>
          </w:rPr>
          <w:t xml:space="preserve"> </w:t>
        </w:r>
      </w:hyperlink>
      <w:hyperlink r:id="rId25">
        <w:r w:rsidDel="00000000" w:rsidR="00000000" w:rsidRPr="00000000">
          <w:rPr>
            <w:color w:val="1155cc"/>
            <w:sz w:val="20"/>
            <w:szCs w:val="20"/>
            <w:u w:val="single"/>
            <w:rtl w:val="0"/>
          </w:rPr>
          <w:t xml:space="preserve">https://octaedro.com/libro/acoso-y-ciberacoso-en-la-escuela/</w:t>
        </w:r>
      </w:hyperlink>
      <w:r w:rsidDel="00000000" w:rsidR="00000000" w:rsidRPr="00000000">
        <w:rPr>
          <w:rtl w:val="0"/>
        </w:rPr>
      </w:r>
    </w:p>
    <w:p w:rsidR="00000000" w:rsidDel="00000000" w:rsidP="00000000" w:rsidRDefault="00000000" w:rsidRPr="00000000" w14:paraId="0000002E">
      <w:pPr>
        <w:numPr>
          <w:ilvl w:val="0"/>
          <w:numId w:val="2"/>
        </w:numPr>
        <w:spacing w:after="0" w:line="240" w:lineRule="auto"/>
        <w:ind w:left="425.19685039370086" w:hanging="360"/>
        <w:rPr>
          <w:sz w:val="20"/>
          <w:szCs w:val="20"/>
          <w:u w:val="none"/>
        </w:rPr>
      </w:pPr>
      <w:r w:rsidDel="00000000" w:rsidR="00000000" w:rsidRPr="00000000">
        <w:rPr>
          <w:sz w:val="20"/>
          <w:szCs w:val="20"/>
          <w:rtl w:val="0"/>
        </w:rPr>
        <w:t xml:space="preserve">Rey Peña, L., Quintana Orts, C., Yudes Gómez, C., Peláez Fernández, M. A., &amp;  Mérida López, S. (2025). </w:t>
      </w:r>
      <w:r w:rsidDel="00000000" w:rsidR="00000000" w:rsidRPr="00000000">
        <w:rPr>
          <w:i w:val="1"/>
          <w:sz w:val="20"/>
          <w:szCs w:val="20"/>
          <w:rtl w:val="0"/>
        </w:rPr>
        <w:t xml:space="preserve">Programa Psicotic. Prevención del Uso Problemático de las Tecnologías y Ciberacoso en Adolescentes.</w:t>
      </w:r>
      <w:r w:rsidDel="00000000" w:rsidR="00000000" w:rsidRPr="00000000">
        <w:rPr>
          <w:sz w:val="20"/>
          <w:szCs w:val="20"/>
          <w:rtl w:val="0"/>
        </w:rPr>
        <w:t xml:space="preserve"> UMA Editorial Universidad de Málaga. </w:t>
      </w:r>
      <w:hyperlink r:id="rId26">
        <w:r w:rsidDel="00000000" w:rsidR="00000000" w:rsidRPr="00000000">
          <w:rPr>
            <w:color w:val="1155cc"/>
            <w:sz w:val="20"/>
            <w:szCs w:val="20"/>
            <w:u w:val="single"/>
            <w:rtl w:val="0"/>
          </w:rPr>
          <w:t xml:space="preserve">https://doi.org/10.24310/mumaedmumaed.247</w:t>
        </w:r>
      </w:hyperlink>
      <w:r w:rsidDel="00000000" w:rsidR="00000000" w:rsidRPr="00000000">
        <w:rPr>
          <w:rtl w:val="0"/>
        </w:rPr>
      </w:r>
    </w:p>
    <w:p w:rsidR="00000000" w:rsidDel="00000000" w:rsidP="00000000" w:rsidRDefault="00000000" w:rsidRPr="00000000" w14:paraId="0000002F">
      <w:pPr>
        <w:numPr>
          <w:ilvl w:val="0"/>
          <w:numId w:val="2"/>
        </w:numPr>
        <w:spacing w:after="0" w:line="240" w:lineRule="auto"/>
        <w:ind w:left="425.19685039370086" w:hanging="360"/>
        <w:rPr>
          <w:sz w:val="20"/>
          <w:szCs w:val="20"/>
          <w:u w:val="none"/>
        </w:rPr>
      </w:pPr>
      <w:r w:rsidDel="00000000" w:rsidR="00000000" w:rsidRPr="00000000">
        <w:rPr>
          <w:sz w:val="20"/>
          <w:szCs w:val="20"/>
          <w:rtl w:val="0"/>
        </w:rPr>
        <w:t xml:space="preserve">Ruiz-Ruiz, J., Pérez-Jorge, D., García García, L. A. &amp; Lorenzetti, G. (2021). </w:t>
      </w:r>
      <w:r w:rsidDel="00000000" w:rsidR="00000000" w:rsidRPr="00000000">
        <w:rPr>
          <w:i w:val="1"/>
          <w:sz w:val="20"/>
          <w:szCs w:val="20"/>
          <w:rtl w:val="0"/>
        </w:rPr>
        <w:t xml:space="preserve">Gestión de la convivencia.</w:t>
      </w:r>
      <w:r w:rsidDel="00000000" w:rsidR="00000000" w:rsidRPr="00000000">
        <w:rPr>
          <w:sz w:val="20"/>
          <w:szCs w:val="20"/>
          <w:rtl w:val="0"/>
        </w:rPr>
        <w:t xml:space="preserve"> Octaedro. </w:t>
      </w:r>
      <w:hyperlink r:id="rId27">
        <w:r w:rsidDel="00000000" w:rsidR="00000000" w:rsidRPr="00000000">
          <w:rPr>
            <w:color w:val="1155cc"/>
            <w:sz w:val="20"/>
            <w:szCs w:val="20"/>
            <w:u w:val="single"/>
            <w:rtl w:val="0"/>
          </w:rPr>
          <w:t xml:space="preserve">https://octaedro.com/libro/gestion-de-la-convivencia/</w:t>
        </w:r>
      </w:hyperlink>
      <w:r w:rsidDel="00000000" w:rsidR="00000000" w:rsidRPr="00000000">
        <w:rPr>
          <w:rtl w:val="0"/>
        </w:rPr>
      </w:r>
    </w:p>
    <w:p w:rsidR="00000000" w:rsidDel="00000000" w:rsidP="00000000" w:rsidRDefault="00000000" w:rsidRPr="00000000" w14:paraId="00000030">
      <w:pPr>
        <w:numPr>
          <w:ilvl w:val="0"/>
          <w:numId w:val="2"/>
        </w:numPr>
        <w:spacing w:after="0" w:line="240" w:lineRule="auto"/>
        <w:ind w:left="425.19685039370086" w:hanging="360"/>
        <w:rPr>
          <w:sz w:val="20"/>
          <w:szCs w:val="20"/>
          <w:u w:val="none"/>
        </w:rPr>
      </w:pPr>
      <w:r w:rsidDel="00000000" w:rsidR="00000000" w:rsidRPr="00000000">
        <w:rPr>
          <w:sz w:val="20"/>
          <w:szCs w:val="20"/>
          <w:rtl w:val="0"/>
        </w:rPr>
        <w:t xml:space="preserve">Sordé, T. (coord.), Aiello, E., Castro, M., Flecha, A., Gairal, R., Herrero, C., Melgar, P., Mondéjar, E., Plaja, T., Pulido, C., Racionero, S., Ramis, M., Rios, O., Sánchez, M., Serradell, O., Serrano, M. A., Tellado, I., &amp; Villarejo, B. (2017). </w:t>
      </w:r>
      <w:r w:rsidDel="00000000" w:rsidR="00000000" w:rsidRPr="00000000">
        <w:rPr>
          <w:i w:val="1"/>
          <w:sz w:val="20"/>
          <w:szCs w:val="20"/>
          <w:rtl w:val="0"/>
        </w:rPr>
        <w:t xml:space="preserve">Guía para la Comunidad Educativa de prevención y apoyo a las víctimas de ciberacoso en el contexto escolar. </w:t>
      </w:r>
      <w:r w:rsidDel="00000000" w:rsidR="00000000" w:rsidRPr="00000000">
        <w:rPr>
          <w:sz w:val="20"/>
          <w:szCs w:val="20"/>
          <w:rtl w:val="0"/>
        </w:rPr>
        <w:t xml:space="preserve">CNIIE. Ministerio de Educación, Cultura y Deporte</w:t>
      </w:r>
      <w:r w:rsidDel="00000000" w:rsidR="00000000" w:rsidRPr="00000000">
        <w:rPr>
          <w:b w:val="1"/>
          <w:sz w:val="20"/>
          <w:szCs w:val="20"/>
          <w:rtl w:val="0"/>
        </w:rPr>
        <w:t xml:space="preserve">.</w:t>
      </w:r>
      <w:hyperlink r:id="rId28">
        <w:r w:rsidDel="00000000" w:rsidR="00000000" w:rsidRPr="00000000">
          <w:rPr>
            <w:b w:val="1"/>
            <w:sz w:val="20"/>
            <w:szCs w:val="20"/>
            <w:rtl w:val="0"/>
          </w:rPr>
          <w:t xml:space="preserve"> </w:t>
        </w:r>
      </w:hyperlink>
      <w:hyperlink r:id="rId29">
        <w:r w:rsidDel="00000000" w:rsidR="00000000" w:rsidRPr="00000000">
          <w:rPr>
            <w:color w:val="1155cc"/>
            <w:sz w:val="20"/>
            <w:szCs w:val="20"/>
            <w:u w:val="single"/>
            <w:rtl w:val="0"/>
          </w:rPr>
          <w:t xml:space="preserve">https://www.libreria.educacion.gob.es/libro/guia-para-la-comunidad-educativa-de-prevencion-y-apoyo-a-las-victimas-de-ciberacoso-en-el-contexto-escolar_169558/</w:t>
        </w:r>
      </w:hyperlink>
      <w:r w:rsidDel="00000000" w:rsidR="00000000" w:rsidRPr="00000000">
        <w:rPr>
          <w:rtl w:val="0"/>
        </w:rPr>
      </w:r>
    </w:p>
    <w:p w:rsidR="00000000" w:rsidDel="00000000" w:rsidP="00000000" w:rsidRDefault="00000000" w:rsidRPr="00000000" w14:paraId="00000031">
      <w:pPr>
        <w:spacing w:after="120"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120" w:line="276" w:lineRule="auto"/>
        <w:jc w:val="both"/>
        <w:rPr>
          <w:b w:val="1"/>
          <w:highlight w:val="yellow"/>
        </w:rPr>
      </w:pPr>
      <w:r w:rsidDel="00000000" w:rsidR="00000000" w:rsidRPr="00000000">
        <w:rPr>
          <w:b w:val="1"/>
          <w:rtl w:val="0"/>
        </w:rPr>
        <w:t xml:space="preserve">6. Additional Comments or Observations </w:t>
      </w:r>
      <w:r w:rsidDel="00000000" w:rsidR="00000000" w:rsidRPr="00000000">
        <w:rPr>
          <w:rtl w:val="0"/>
        </w:rPr>
      </w:r>
    </w:p>
    <w:p w:rsidR="00000000" w:rsidDel="00000000" w:rsidP="00000000" w:rsidRDefault="00000000" w:rsidRPr="00000000" w14:paraId="00000033">
      <w:pPr>
        <w:spacing w:after="120" w:line="276" w:lineRule="auto"/>
        <w:jc w:val="both"/>
        <w:rPr>
          <w:i w:val="1"/>
        </w:rPr>
      </w:pPr>
      <w:r w:rsidDel="00000000" w:rsidR="00000000" w:rsidRPr="00000000">
        <w:rPr>
          <w:i w:val="1"/>
          <w:rtl w:val="0"/>
        </w:rPr>
        <w:t xml:space="preserve">Spain’s education system is </w:t>
      </w:r>
      <w:r w:rsidDel="00000000" w:rsidR="00000000" w:rsidRPr="00000000">
        <w:rPr>
          <w:b w:val="1"/>
          <w:i w:val="1"/>
          <w:rtl w:val="0"/>
        </w:rPr>
        <w:t xml:space="preserve">decentralized</w:t>
      </w:r>
      <w:r w:rsidDel="00000000" w:rsidR="00000000" w:rsidRPr="00000000">
        <w:rPr>
          <w:i w:val="1"/>
          <w:rtl w:val="0"/>
        </w:rPr>
        <w:t xml:space="preserve">, with the Ministry of Education setting overall policy, basic regulations, and curricula (e.g., Royal Decrees 95/2022, 157/2022, 217/2022), while the 17 autonomous communities implement these rules and manage schools. Bodies such as the </w:t>
      </w:r>
      <w:r w:rsidDel="00000000" w:rsidR="00000000" w:rsidRPr="00000000">
        <w:rPr>
          <w:b w:val="1"/>
          <w:i w:val="1"/>
          <w:rtl w:val="0"/>
        </w:rPr>
        <w:t xml:space="preserve">State Observatory for School Coexistence</w:t>
      </w:r>
      <w:r w:rsidDel="00000000" w:rsidR="00000000" w:rsidRPr="00000000">
        <w:rPr>
          <w:i w:val="1"/>
          <w:rtl w:val="0"/>
        </w:rPr>
        <w:t xml:space="preserve">—coordinated with regional observatories—promote inclusive education and anti-bullying measures. The </w:t>
      </w:r>
      <w:r w:rsidDel="00000000" w:rsidR="00000000" w:rsidRPr="00000000">
        <w:rPr>
          <w:b w:val="1"/>
          <w:i w:val="1"/>
          <w:rtl w:val="0"/>
        </w:rPr>
        <w:t xml:space="preserve">LOMLOE (2020)</w:t>
      </w:r>
      <w:r w:rsidDel="00000000" w:rsidR="00000000" w:rsidRPr="00000000">
        <w:rPr>
          <w:i w:val="1"/>
          <w:rtl w:val="0"/>
        </w:rPr>
        <w:t xml:space="preserve"> law enhances schools’ pedagogical and management autonomy, and publicly funded, private, and subsidized schools involve the whole educational community in governance. Regions can pass specific laws (e.g., teacher-authority acts), though nationwide laws ensure common principles such as non-discrimination and rules on minors’ criminal responsibility. </w:t>
      </w:r>
    </w:p>
    <w:p w:rsidR="00000000" w:rsidDel="00000000" w:rsidP="00000000" w:rsidRDefault="00000000" w:rsidRPr="00000000" w14:paraId="00000034">
      <w:pPr>
        <w:spacing w:after="120" w:line="276" w:lineRule="auto"/>
        <w:jc w:val="both"/>
        <w:rPr>
          <w:b w:val="1"/>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b w:val="1"/>
          <w:rtl w:val="0"/>
        </w:rPr>
        <w:t xml:space="preserve"> Annexes :  </w:t>
      </w:r>
    </w:p>
    <w:p w:rsidR="00000000" w:rsidDel="00000000" w:rsidP="00000000" w:rsidRDefault="00000000" w:rsidRPr="00000000" w14:paraId="00000035">
      <w:pPr>
        <w:spacing w:after="120" w:line="276" w:lineRule="auto"/>
        <w:jc w:val="both"/>
        <w:rPr>
          <w:b w:val="1"/>
          <w:sz w:val="24"/>
          <w:szCs w:val="24"/>
        </w:rPr>
      </w:pPr>
      <w:r w:rsidDel="00000000" w:rsidR="00000000" w:rsidRPr="00000000">
        <w:rPr>
          <w:b w:val="1"/>
          <w:rtl w:val="0"/>
        </w:rPr>
        <w:t xml:space="preserve">Legislative frameworks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6">
      <w:pPr>
        <w:spacing w:after="0" w:before="0" w:line="240" w:lineRule="auto"/>
        <w:ind w:left="566.9291338582678" w:hanging="566.9291338582678"/>
        <w:jc w:val="both"/>
        <w:rPr/>
      </w:pPr>
      <w:r w:rsidDel="00000000" w:rsidR="00000000" w:rsidRPr="00000000">
        <w:rPr>
          <w:rtl w:val="0"/>
        </w:rPr>
        <w:t xml:space="preserve">Law 2/2010, of June 15, on the authority of teachers in the Community of Madrid. </w:t>
      </w:r>
      <w:r w:rsidDel="00000000" w:rsidR="00000000" w:rsidRPr="00000000">
        <w:rPr>
          <w:i w:val="1"/>
          <w:rtl w:val="0"/>
        </w:rPr>
        <w:t xml:space="preserve">Official State Gazette, 238</w:t>
      </w:r>
      <w:r w:rsidDel="00000000" w:rsidR="00000000" w:rsidRPr="00000000">
        <w:rPr>
          <w:rtl w:val="0"/>
        </w:rPr>
        <w:t xml:space="preserve">, of October 1, 2010. </w:t>
      </w:r>
      <w:hyperlink r:id="rId30">
        <w:r w:rsidDel="00000000" w:rsidR="00000000" w:rsidRPr="00000000">
          <w:rPr>
            <w:color w:val="1155cc"/>
            <w:u w:val="single"/>
            <w:rtl w:val="0"/>
          </w:rPr>
          <w:t xml:space="preserve">https://www.boe.es/eli/es-md/l/2010/06/15/2/con</w:t>
        </w:r>
      </w:hyperlink>
      <w:r w:rsidDel="00000000" w:rsidR="00000000" w:rsidRPr="00000000">
        <w:rPr>
          <w:rtl w:val="0"/>
        </w:rPr>
        <w:t xml:space="preserve"> </w:t>
      </w:r>
    </w:p>
    <w:p w:rsidR="00000000" w:rsidDel="00000000" w:rsidP="00000000" w:rsidRDefault="00000000" w:rsidRPr="00000000" w14:paraId="00000037">
      <w:pPr>
        <w:spacing w:after="0" w:before="0" w:line="240" w:lineRule="auto"/>
        <w:ind w:left="566.9291338582678" w:hanging="566.9291338582678"/>
        <w:jc w:val="both"/>
        <w:rPr/>
      </w:pPr>
      <w:r w:rsidDel="00000000" w:rsidR="00000000" w:rsidRPr="00000000">
        <w:rPr>
          <w:rtl w:val="0"/>
        </w:rPr>
        <w:t xml:space="preserve">Law 3/2014, of April 16, on the authority of teachers in the Autonomous Community of Castile and León. </w:t>
      </w:r>
      <w:r w:rsidDel="00000000" w:rsidR="00000000" w:rsidRPr="00000000">
        <w:rPr>
          <w:i w:val="1"/>
          <w:rtl w:val="0"/>
        </w:rPr>
        <w:t xml:space="preserve">Official State Gazette, 130</w:t>
      </w:r>
      <w:r w:rsidDel="00000000" w:rsidR="00000000" w:rsidRPr="00000000">
        <w:rPr>
          <w:rtl w:val="0"/>
        </w:rPr>
        <w:t xml:space="preserve">, of May 29, 2014. </w:t>
      </w:r>
      <w:hyperlink r:id="rId31">
        <w:r w:rsidDel="00000000" w:rsidR="00000000" w:rsidRPr="00000000">
          <w:rPr>
            <w:color w:val="1155cc"/>
            <w:u w:val="single"/>
            <w:rtl w:val="0"/>
          </w:rPr>
          <w:t xml:space="preserve">https://www.boe.es/eli/es-cl/l/2014/04/16/3/con</w:t>
        </w:r>
      </w:hyperlink>
      <w:r w:rsidDel="00000000" w:rsidR="00000000" w:rsidRPr="00000000">
        <w:rPr>
          <w:rtl w:val="0"/>
        </w:rPr>
        <w:t xml:space="preserve"> </w:t>
      </w:r>
    </w:p>
    <w:p w:rsidR="00000000" w:rsidDel="00000000" w:rsidP="00000000" w:rsidRDefault="00000000" w:rsidRPr="00000000" w14:paraId="00000038">
      <w:pPr>
        <w:spacing w:after="0" w:before="0" w:line="240" w:lineRule="auto"/>
        <w:ind w:left="566.9291338582678" w:hanging="566.9291338582678"/>
        <w:jc w:val="both"/>
        <w:rPr/>
      </w:pPr>
      <w:r w:rsidDel="00000000" w:rsidR="00000000" w:rsidRPr="00000000">
        <w:rPr>
          <w:rtl w:val="0"/>
        </w:rPr>
        <w:t xml:space="preserve">Law 4/2019, of March 7, on improving conditions for teaching and education in the field of non-university education. </w:t>
      </w:r>
      <w:r w:rsidDel="00000000" w:rsidR="00000000" w:rsidRPr="00000000">
        <w:rPr>
          <w:i w:val="1"/>
          <w:rtl w:val="0"/>
        </w:rPr>
        <w:t xml:space="preserve">Official State Gazette, 58</w:t>
      </w:r>
      <w:r w:rsidDel="00000000" w:rsidR="00000000" w:rsidRPr="00000000">
        <w:rPr>
          <w:rtl w:val="0"/>
        </w:rPr>
        <w:t xml:space="preserve">, of March 8, 2019. </w:t>
      </w:r>
      <w:hyperlink r:id="rId32">
        <w:r w:rsidDel="00000000" w:rsidR="00000000" w:rsidRPr="00000000">
          <w:rPr>
            <w:color w:val="1155cc"/>
            <w:u w:val="single"/>
            <w:rtl w:val="0"/>
          </w:rPr>
          <w:t xml:space="preserve">https://www.boe.es/eli/es/l/2019/03/07/4/con</w:t>
        </w:r>
      </w:hyperlink>
      <w:r w:rsidDel="00000000" w:rsidR="00000000" w:rsidRPr="00000000">
        <w:rPr>
          <w:rtl w:val="0"/>
        </w:rPr>
        <w:t xml:space="preserve"> </w:t>
      </w:r>
    </w:p>
    <w:p w:rsidR="00000000" w:rsidDel="00000000" w:rsidP="00000000" w:rsidRDefault="00000000" w:rsidRPr="00000000" w14:paraId="00000039">
      <w:pPr>
        <w:spacing w:after="0" w:before="0" w:line="240" w:lineRule="auto"/>
        <w:ind w:left="566.9291338582678" w:hanging="566.9291338582678"/>
        <w:jc w:val="both"/>
        <w:rPr/>
      </w:pPr>
      <w:r w:rsidDel="00000000" w:rsidR="00000000" w:rsidRPr="00000000">
        <w:rPr>
          <w:rtl w:val="0"/>
        </w:rPr>
        <w:t xml:space="preserve">Law 15/2022, of July 12, comprehensive law on equal treatment and non-discrimination. </w:t>
      </w:r>
      <w:r w:rsidDel="00000000" w:rsidR="00000000" w:rsidRPr="00000000">
        <w:rPr>
          <w:i w:val="1"/>
          <w:rtl w:val="0"/>
        </w:rPr>
        <w:t xml:space="preserve">Official State Gazette, 167</w:t>
      </w:r>
      <w:r w:rsidDel="00000000" w:rsidR="00000000" w:rsidRPr="00000000">
        <w:rPr>
          <w:rtl w:val="0"/>
        </w:rPr>
        <w:t xml:space="preserve">, of July 13, 2022. </w:t>
      </w:r>
      <w:hyperlink r:id="rId33">
        <w:r w:rsidDel="00000000" w:rsidR="00000000" w:rsidRPr="00000000">
          <w:rPr>
            <w:color w:val="1155cc"/>
            <w:u w:val="single"/>
            <w:rtl w:val="0"/>
          </w:rPr>
          <w:t xml:space="preserve">https://www.boe.es/eli/es/l/2022/07/12/15/con</w:t>
        </w:r>
      </w:hyperlink>
      <w:r w:rsidDel="00000000" w:rsidR="00000000" w:rsidRPr="00000000">
        <w:rPr>
          <w:rtl w:val="0"/>
        </w:rPr>
        <w:t xml:space="preserve"> </w:t>
      </w:r>
    </w:p>
    <w:p w:rsidR="00000000" w:rsidDel="00000000" w:rsidP="00000000" w:rsidRDefault="00000000" w:rsidRPr="00000000" w14:paraId="0000003A">
      <w:pPr>
        <w:spacing w:after="0" w:before="0" w:line="240" w:lineRule="auto"/>
        <w:ind w:left="566.9291338582678" w:hanging="566.9291338582678"/>
        <w:jc w:val="both"/>
        <w:rPr/>
      </w:pPr>
      <w:r w:rsidDel="00000000" w:rsidR="00000000" w:rsidRPr="00000000">
        <w:rPr>
          <w:rtl w:val="0"/>
        </w:rPr>
        <w:t xml:space="preserve">Organic Law 5/2000, of January 12, regulating the criminal responsibility of minors. </w:t>
      </w:r>
      <w:r w:rsidDel="00000000" w:rsidR="00000000" w:rsidRPr="00000000">
        <w:rPr>
          <w:i w:val="1"/>
          <w:rtl w:val="0"/>
        </w:rPr>
        <w:t xml:space="preserve">Official State Gazette, 11</w:t>
      </w:r>
      <w:r w:rsidDel="00000000" w:rsidR="00000000" w:rsidRPr="00000000">
        <w:rPr>
          <w:rtl w:val="0"/>
        </w:rPr>
        <w:t xml:space="preserve">, of January 13, 2000. Consolidated text, last amended on January 3, 2025. </w:t>
      </w:r>
      <w:hyperlink r:id="rId34">
        <w:r w:rsidDel="00000000" w:rsidR="00000000" w:rsidRPr="00000000">
          <w:rPr>
            <w:color w:val="1155cc"/>
            <w:u w:val="single"/>
            <w:rtl w:val="0"/>
          </w:rPr>
          <w:t xml:space="preserve">https://www.boe.es/eli/es/lo/2000/01/12/5/con</w:t>
        </w:r>
      </w:hyperlink>
      <w:r w:rsidDel="00000000" w:rsidR="00000000" w:rsidRPr="00000000">
        <w:rPr>
          <w:rtl w:val="0"/>
        </w:rPr>
        <w:t xml:space="preserve"> </w:t>
      </w:r>
    </w:p>
    <w:p w:rsidR="00000000" w:rsidDel="00000000" w:rsidP="00000000" w:rsidRDefault="00000000" w:rsidRPr="00000000" w14:paraId="0000003B">
      <w:pPr>
        <w:spacing w:after="0" w:before="0" w:line="240" w:lineRule="auto"/>
        <w:ind w:left="566.9291338582678" w:hanging="566.9291338582678"/>
        <w:jc w:val="both"/>
        <w:rPr>
          <w:color w:val="1155cc"/>
          <w:u w:val="single"/>
        </w:rPr>
      </w:pPr>
      <w:r w:rsidDel="00000000" w:rsidR="00000000" w:rsidRPr="00000000">
        <w:rPr>
          <w:rtl w:val="0"/>
        </w:rPr>
        <w:t xml:space="preserve">Organic Law 3/2020, of December 29, amending Organic Law 2/2006, of May 3, on Education (LOMLOE), </w:t>
      </w:r>
      <w:r w:rsidDel="00000000" w:rsidR="00000000" w:rsidRPr="00000000">
        <w:rPr>
          <w:i w:val="1"/>
          <w:rtl w:val="0"/>
        </w:rPr>
        <w:t xml:space="preserve">Official State Gazette, 340</w:t>
      </w:r>
      <w:r w:rsidDel="00000000" w:rsidR="00000000" w:rsidRPr="00000000">
        <w:rPr>
          <w:rtl w:val="0"/>
        </w:rPr>
        <w:t xml:space="preserve">, of December 30, 2020.</w:t>
      </w:r>
      <w:hyperlink r:id="rId35">
        <w:r w:rsidDel="00000000" w:rsidR="00000000" w:rsidRPr="00000000">
          <w:rPr>
            <w:rtl w:val="0"/>
          </w:rPr>
          <w:t xml:space="preserve"> </w:t>
        </w:r>
      </w:hyperlink>
      <w:hyperlink r:id="rId36">
        <w:r w:rsidDel="00000000" w:rsidR="00000000" w:rsidRPr="00000000">
          <w:rPr>
            <w:color w:val="1155cc"/>
            <w:u w:val="single"/>
            <w:rtl w:val="0"/>
          </w:rPr>
          <w:t xml:space="preserve">https://www.boe.es/eli/es/lo/2020/12/29/3/con</w:t>
        </w:r>
      </w:hyperlink>
      <w:r w:rsidDel="00000000" w:rsidR="00000000" w:rsidRPr="00000000">
        <w:rPr>
          <w:rtl w:val="0"/>
        </w:rPr>
      </w:r>
    </w:p>
    <w:p w:rsidR="00000000" w:rsidDel="00000000" w:rsidP="00000000" w:rsidRDefault="00000000" w:rsidRPr="00000000" w14:paraId="0000003C">
      <w:pPr>
        <w:spacing w:after="0" w:before="0" w:line="240" w:lineRule="auto"/>
        <w:ind w:left="566.9291338582678" w:hanging="566.9291338582678"/>
        <w:jc w:val="both"/>
        <w:rPr/>
      </w:pPr>
      <w:r w:rsidDel="00000000" w:rsidR="00000000" w:rsidRPr="00000000">
        <w:rPr>
          <w:rtl w:val="0"/>
        </w:rPr>
        <w:t xml:space="preserve">Pichardo Galán, J. I. (Coord.), Stéfano Barbero, M. de, Faure, J., Sáenz, M., &amp; Williams Ramos, J. (2015). </w:t>
      </w:r>
      <w:r w:rsidDel="00000000" w:rsidR="00000000" w:rsidRPr="00000000">
        <w:rPr>
          <w:i w:val="1"/>
          <w:rtl w:val="0"/>
        </w:rPr>
        <w:t xml:space="preserve">Embracing diversity: proposals for education free from homophobic and transphobic harassment</w:t>
      </w:r>
      <w:r w:rsidDel="00000000" w:rsidR="00000000" w:rsidRPr="00000000">
        <w:rPr>
          <w:rtl w:val="0"/>
        </w:rPr>
        <w:t xml:space="preserve">. Institute for Women and Equal Opportunities. </w:t>
      </w:r>
      <w:hyperlink r:id="rId37">
        <w:r w:rsidDel="00000000" w:rsidR="00000000" w:rsidRPr="00000000">
          <w:rPr>
            <w:color w:val="1155cc"/>
            <w:u w:val="single"/>
            <w:rtl w:val="0"/>
          </w:rPr>
          <w:t xml:space="preserve">https://www.igualdad.gob.es/abrazar-la-diversidad-propuestas-para-una-educacion-libre-de-acoso-homofobico-y-transfobico/</w:t>
        </w:r>
      </w:hyperlink>
      <w:r w:rsidDel="00000000" w:rsidR="00000000" w:rsidRPr="00000000">
        <w:rPr>
          <w:rtl w:val="0"/>
        </w:rPr>
        <w:t xml:space="preserve"> </w:t>
      </w:r>
    </w:p>
    <w:p w:rsidR="00000000" w:rsidDel="00000000" w:rsidP="00000000" w:rsidRDefault="00000000" w:rsidRPr="00000000" w14:paraId="0000003D">
      <w:pPr>
        <w:spacing w:after="0" w:before="0" w:line="240" w:lineRule="auto"/>
        <w:ind w:left="566.9291338582678" w:hanging="566.9291338582678"/>
        <w:jc w:val="both"/>
        <w:rPr/>
      </w:pPr>
      <w:r w:rsidDel="00000000" w:rsidR="00000000" w:rsidRPr="00000000">
        <w:rPr>
          <w:rtl w:val="0"/>
        </w:rPr>
        <w:t xml:space="preserve">Royal Decree 732/1995, of May 5, establishing the rights and duties of students and the rules of coexistence in schools. </w:t>
      </w:r>
      <w:r w:rsidDel="00000000" w:rsidR="00000000" w:rsidRPr="00000000">
        <w:rPr>
          <w:i w:val="1"/>
          <w:rtl w:val="0"/>
        </w:rPr>
        <w:t xml:space="preserve">Official State Gazette, 131</w:t>
      </w:r>
      <w:r w:rsidDel="00000000" w:rsidR="00000000" w:rsidRPr="00000000">
        <w:rPr>
          <w:rtl w:val="0"/>
        </w:rPr>
        <w:t xml:space="preserve">, of June 2, 1995.</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https://www.boe.es/boe/dias/1995/06/02/pdfs/A16185-16192.pdf</w:t>
        </w:r>
      </w:hyperlink>
      <w:r w:rsidDel="00000000" w:rsidR="00000000" w:rsidRPr="00000000">
        <w:rPr>
          <w:rtl w:val="0"/>
        </w:rPr>
        <w:t xml:space="preserve"> </w:t>
      </w:r>
    </w:p>
    <w:p w:rsidR="00000000" w:rsidDel="00000000" w:rsidP="00000000" w:rsidRDefault="00000000" w:rsidRPr="00000000" w14:paraId="0000003E">
      <w:pPr>
        <w:spacing w:after="0" w:before="0" w:line="240" w:lineRule="auto"/>
        <w:ind w:left="566.9291338582678" w:hanging="566.9291338582678"/>
        <w:jc w:val="both"/>
        <w:rPr/>
      </w:pPr>
      <w:r w:rsidDel="00000000" w:rsidR="00000000" w:rsidRPr="00000000">
        <w:rPr>
          <w:rtl w:val="0"/>
        </w:rPr>
        <w:t xml:space="preserve">Royal Decree 1774/2004, of July 30, approving the Regulations of Organic Law 5/2000, of January 12, regulating the criminal responsibility of minors. </w:t>
      </w:r>
      <w:r w:rsidDel="00000000" w:rsidR="00000000" w:rsidRPr="00000000">
        <w:rPr>
          <w:i w:val="1"/>
          <w:rtl w:val="0"/>
        </w:rPr>
        <w:t xml:space="preserve">Official State Gazette, 209</w:t>
      </w:r>
      <w:r w:rsidDel="00000000" w:rsidR="00000000" w:rsidRPr="00000000">
        <w:rPr>
          <w:rtl w:val="0"/>
        </w:rPr>
        <w:t xml:space="preserve">, of August 30, 2004. Consolidated text, last amended on July 17, 2021. </w:t>
      </w:r>
      <w:hyperlink r:id="rId40">
        <w:r w:rsidDel="00000000" w:rsidR="00000000" w:rsidRPr="00000000">
          <w:rPr>
            <w:color w:val="1155cc"/>
            <w:u w:val="single"/>
            <w:rtl w:val="0"/>
          </w:rPr>
          <w:t xml:space="preserve">https://www.boe.es/eli/es/rd/2004/07/30/1774/con</w:t>
        </w:r>
      </w:hyperlink>
      <w:r w:rsidDel="00000000" w:rsidR="00000000" w:rsidRPr="00000000">
        <w:rPr>
          <w:rtl w:val="0"/>
        </w:rPr>
      </w:r>
    </w:p>
    <w:p w:rsidR="00000000" w:rsidDel="00000000" w:rsidP="00000000" w:rsidRDefault="00000000" w:rsidRPr="00000000" w14:paraId="0000003F">
      <w:pPr>
        <w:spacing w:after="0" w:before="0" w:line="240" w:lineRule="auto"/>
        <w:ind w:left="566.9291338582678" w:hanging="566.9291338582678"/>
        <w:jc w:val="both"/>
        <w:rPr/>
      </w:pPr>
      <w:r w:rsidDel="00000000" w:rsidR="00000000" w:rsidRPr="00000000">
        <w:rPr>
          <w:rtl w:val="0"/>
        </w:rPr>
        <w:t xml:space="preserve">Royal Decree 95/2022, of February 1, establishing the organization and minimum teaching requirements for Early Childhood Education. </w:t>
      </w:r>
      <w:r w:rsidDel="00000000" w:rsidR="00000000" w:rsidRPr="00000000">
        <w:rPr>
          <w:i w:val="1"/>
          <w:rtl w:val="0"/>
        </w:rPr>
        <w:t xml:space="preserve">Official State Gazette, 28</w:t>
      </w:r>
      <w:r w:rsidDel="00000000" w:rsidR="00000000" w:rsidRPr="00000000">
        <w:rPr>
          <w:rtl w:val="0"/>
        </w:rPr>
        <w:t xml:space="preserve">, of February 2, 2022.</w:t>
      </w:r>
      <w:hyperlink r:id="rId41">
        <w:r w:rsidDel="00000000" w:rsidR="00000000" w:rsidRPr="00000000">
          <w:rPr>
            <w:rtl w:val="0"/>
          </w:rPr>
          <w:t xml:space="preserve"> </w:t>
        </w:r>
      </w:hyperlink>
      <w:hyperlink r:id="rId42">
        <w:r w:rsidDel="00000000" w:rsidR="00000000" w:rsidRPr="00000000">
          <w:rPr>
            <w:color w:val="1155cc"/>
            <w:u w:val="single"/>
            <w:rtl w:val="0"/>
          </w:rPr>
          <w:t xml:space="preserve">https://www.boe.es/eli/es/rd/2022/02/01/95</w:t>
        </w:r>
      </w:hyperlink>
      <w:r w:rsidDel="00000000" w:rsidR="00000000" w:rsidRPr="00000000">
        <w:rPr>
          <w:rtl w:val="0"/>
        </w:rPr>
      </w:r>
    </w:p>
    <w:p w:rsidR="00000000" w:rsidDel="00000000" w:rsidP="00000000" w:rsidRDefault="00000000" w:rsidRPr="00000000" w14:paraId="00000040">
      <w:pPr>
        <w:spacing w:after="0" w:before="0" w:line="240" w:lineRule="auto"/>
        <w:ind w:left="566.9291338582678" w:hanging="566.9291338582678"/>
        <w:jc w:val="both"/>
        <w:rPr/>
      </w:pPr>
      <w:r w:rsidDel="00000000" w:rsidR="00000000" w:rsidRPr="00000000">
        <w:rPr>
          <w:rtl w:val="0"/>
        </w:rPr>
        <w:t xml:space="preserve">Royal Decree 275/2007, of February 23, creating the State Observatory on School Coexistence. </w:t>
      </w:r>
      <w:r w:rsidDel="00000000" w:rsidR="00000000" w:rsidRPr="00000000">
        <w:rPr>
          <w:i w:val="1"/>
          <w:rtl w:val="0"/>
        </w:rPr>
        <w:t xml:space="preserve">Official State Gazette, 64</w:t>
      </w:r>
      <w:r w:rsidDel="00000000" w:rsidR="00000000" w:rsidRPr="00000000">
        <w:rPr>
          <w:rtl w:val="0"/>
        </w:rPr>
        <w:t xml:space="preserve">, of March 15, 2007. </w:t>
      </w:r>
      <w:hyperlink r:id="rId43">
        <w:r w:rsidDel="00000000" w:rsidR="00000000" w:rsidRPr="00000000">
          <w:rPr>
            <w:color w:val="1155cc"/>
            <w:u w:val="single"/>
            <w:rtl w:val="0"/>
          </w:rPr>
          <w:t xml:space="preserve">https://www.boe.es/eli/es/rd/2007/02/23/275/con</w:t>
        </w:r>
      </w:hyperlink>
      <w:r w:rsidDel="00000000" w:rsidR="00000000" w:rsidRPr="00000000">
        <w:rPr>
          <w:rtl w:val="0"/>
        </w:rPr>
        <w:t xml:space="preserve"> </w:t>
      </w:r>
    </w:p>
    <w:p w:rsidR="00000000" w:rsidDel="00000000" w:rsidP="00000000" w:rsidRDefault="00000000" w:rsidRPr="00000000" w14:paraId="00000041">
      <w:pPr>
        <w:spacing w:after="0" w:before="0" w:line="240" w:lineRule="auto"/>
        <w:ind w:left="566.9291338582678" w:hanging="566.9291338582678"/>
        <w:jc w:val="both"/>
        <w:rPr/>
      </w:pPr>
      <w:r w:rsidDel="00000000" w:rsidR="00000000" w:rsidRPr="00000000">
        <w:rPr>
          <w:rtl w:val="0"/>
        </w:rPr>
        <w:t xml:space="preserve">Royal Decree 157/2022, of March 1, establishing the organization and minimum teaching requirements for Primary Education. </w:t>
      </w:r>
      <w:r w:rsidDel="00000000" w:rsidR="00000000" w:rsidRPr="00000000">
        <w:rPr>
          <w:i w:val="1"/>
          <w:rtl w:val="0"/>
        </w:rPr>
        <w:t xml:space="preserve">Official State Gazette, 52</w:t>
      </w:r>
      <w:r w:rsidDel="00000000" w:rsidR="00000000" w:rsidRPr="00000000">
        <w:rPr>
          <w:rtl w:val="0"/>
        </w:rPr>
        <w:t xml:space="preserve">, of March 2, 2022.</w:t>
      </w:r>
      <w:hyperlink r:id="rId44">
        <w:r w:rsidDel="00000000" w:rsidR="00000000" w:rsidRPr="00000000">
          <w:rPr>
            <w:rtl w:val="0"/>
          </w:rPr>
          <w:t xml:space="preserve"> </w:t>
        </w:r>
      </w:hyperlink>
      <w:hyperlink r:id="rId45">
        <w:r w:rsidDel="00000000" w:rsidR="00000000" w:rsidRPr="00000000">
          <w:rPr>
            <w:color w:val="1155cc"/>
            <w:u w:val="single"/>
            <w:rtl w:val="0"/>
          </w:rPr>
          <w:t xml:space="preserve">https://www.boe.es/eli/es/rd/2022/03/01/157/con</w:t>
        </w:r>
      </w:hyperlink>
      <w:r w:rsidDel="00000000" w:rsidR="00000000" w:rsidRPr="00000000">
        <w:rPr>
          <w:rtl w:val="0"/>
        </w:rPr>
        <w:t xml:space="preserve"> </w:t>
      </w:r>
    </w:p>
    <w:p w:rsidR="00000000" w:rsidDel="00000000" w:rsidP="00000000" w:rsidRDefault="00000000" w:rsidRPr="00000000" w14:paraId="00000042">
      <w:pPr>
        <w:spacing w:after="0" w:before="0" w:line="240" w:lineRule="auto"/>
        <w:ind w:left="566.9291338582678" w:hanging="566.9291338582678"/>
        <w:jc w:val="both"/>
        <w:rPr/>
      </w:pPr>
      <w:r w:rsidDel="00000000" w:rsidR="00000000" w:rsidRPr="00000000">
        <w:rPr>
          <w:rtl w:val="0"/>
        </w:rPr>
        <w:t xml:space="preserve">Royal Decree 217/2022, of March 29, establishing the organization and minimum teaching requirements for Compulsory Secondary Education. </w:t>
      </w:r>
      <w:r w:rsidDel="00000000" w:rsidR="00000000" w:rsidRPr="00000000">
        <w:rPr>
          <w:i w:val="1"/>
          <w:rtl w:val="0"/>
        </w:rPr>
        <w:t xml:space="preserve">Official State Gazette, 76</w:t>
      </w:r>
      <w:r w:rsidDel="00000000" w:rsidR="00000000" w:rsidRPr="00000000">
        <w:rPr>
          <w:rtl w:val="0"/>
        </w:rPr>
        <w:t xml:space="preserve">, of March 30, 2022.</w:t>
      </w:r>
      <w:hyperlink r:id="rId46">
        <w:r w:rsidDel="00000000" w:rsidR="00000000" w:rsidRPr="00000000">
          <w:rPr>
            <w:rtl w:val="0"/>
          </w:rPr>
          <w:t xml:space="preserve"> </w:t>
        </w:r>
      </w:hyperlink>
      <w:hyperlink r:id="rId47">
        <w:r w:rsidDel="00000000" w:rsidR="00000000" w:rsidRPr="00000000">
          <w:rPr>
            <w:color w:val="1155cc"/>
            <w:u w:val="single"/>
            <w:rtl w:val="0"/>
          </w:rPr>
          <w:t xml:space="preserve">https://www.boe.es/eli/es/rd/2022/03/29/217/con</w:t>
        </w:r>
      </w:hyperlink>
      <w:r w:rsidDel="00000000" w:rsidR="00000000" w:rsidRPr="00000000">
        <w:rPr>
          <w:rtl w:val="0"/>
        </w:rPr>
      </w:r>
    </w:p>
    <w:p w:rsidR="00000000" w:rsidDel="00000000" w:rsidP="00000000" w:rsidRDefault="00000000" w:rsidRPr="00000000" w14:paraId="00000043">
      <w:pPr>
        <w:spacing w:after="120" w:line="276" w:lineRule="auto"/>
        <w:jc w:val="both"/>
        <w:rPr/>
      </w:pPr>
      <w:r w:rsidDel="00000000" w:rsidR="00000000" w:rsidRPr="00000000">
        <w:rPr>
          <w:rtl w:val="0"/>
        </w:rPr>
      </w:r>
    </w:p>
    <w:sectPr>
      <w:headerReference r:id="rId48" w:type="default"/>
      <w:footerReference r:id="rId49" w:type="default"/>
      <w:footerReference r:id="rId50" w:type="first"/>
      <w:pgSz w:h="16838" w:w="11906" w:orient="portrait"/>
      <w:pgMar w:bottom="1985" w:top="1814" w:left="1077" w:right="1077"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sz w:val="12"/>
        <w:szCs w:val="12"/>
      </w:rPr>
    </w:pPr>
    <w:r w:rsidDel="00000000" w:rsidR="00000000" w:rsidRPr="00000000">
      <w:rPr>
        <w:rtl w:val="0"/>
      </w:rPr>
    </w:r>
  </w:p>
  <w:p w:rsidR="00000000" w:rsidDel="00000000" w:rsidP="00000000" w:rsidRDefault="00000000" w:rsidRPr="00000000" w14:paraId="0000004F">
    <w:pPr>
      <w:spacing w:after="120" w:line="276" w:lineRule="auto"/>
      <w:rPr>
        <w:b w:val="1"/>
        <w:sz w:val="18"/>
        <w:szCs w:val="18"/>
      </w:rPr>
    </w:pPr>
    <w:r w:rsidDel="00000000" w:rsidR="00000000" w:rsidRPr="00000000">
      <w:rPr>
        <w:b w:val="1"/>
        <w:sz w:val="18"/>
        <w:szCs w:val="18"/>
        <w:rtl w:val="0"/>
      </w:rPr>
      <w:t xml:space="preserve">Spanish Report on Bullying and Cyberbullying Policies and Practices</w:t>
    </w:r>
    <w:r w:rsidDel="00000000" w:rsidR="00000000" w:rsidRPr="00000000">
      <w:rPr>
        <w:rtl w:val="0"/>
      </w:rPr>
    </w:r>
  </w:p>
  <w:p w:rsidR="00000000" w:rsidDel="00000000" w:rsidP="00000000" w:rsidRDefault="00000000" w:rsidRPr="00000000" w14:paraId="00000050">
    <w:pPr>
      <w:keepLines w:val="1"/>
      <w:pBdr>
        <w:top w:space="0" w:sz="0" w:val="nil"/>
        <w:left w:space="0" w:sz="0" w:val="nil"/>
        <w:bottom w:space="0" w:sz="0" w:val="nil"/>
        <w:right w:space="0" w:sz="0" w:val="nil"/>
        <w:between w:space="0" w:sz="0" w:val="nil"/>
      </w:pBdr>
      <w:spacing w:after="120" w:line="276" w:lineRule="auto"/>
      <w:jc w:val="both"/>
      <w:rPr>
        <w:sz w:val="16"/>
        <w:szCs w:val="16"/>
      </w:rPr>
    </w:pPr>
    <w:r w:rsidDel="00000000" w:rsidR="00000000" w:rsidRPr="00000000">
      <w:rPr>
        <w:sz w:val="16"/>
        <w:szCs w:val="16"/>
        <w:rtl w:val="0"/>
      </w:rPr>
      <w:t xml:space="preserve">Funded by the European Union. Views and opinions expressed are however those of the author(s) only and do not necessarily reflect those of the European Union or the Hellenic National Agency (IKY). Neither the European Union nor IKY can be held responsible for them.</w:t>
    </w:r>
  </w:p>
  <w:p w:rsidR="00000000" w:rsidDel="00000000" w:rsidP="00000000" w:rsidRDefault="00000000" w:rsidRPr="00000000" w14:paraId="00000051">
    <w:pPr>
      <w:jc w:val="right"/>
      <w:rPr/>
    </w:pPr>
    <w:r w:rsidDel="00000000" w:rsidR="00000000" w:rsidRPr="00000000">
      <w:rPr>
        <w:rtl w:val="0"/>
      </w:rPr>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rPr>
        <w:sz w:val="6"/>
        <w:szCs w:val="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-596899</wp:posOffset>
              </wp:positionV>
              <wp:extent cx="6591300" cy="621665"/>
              <wp:effectExtent b="0" l="0" r="0" t="0"/>
              <wp:wrapNone/>
              <wp:docPr id="2085979275" name=""/>
              <a:graphic>
                <a:graphicData uri="http://schemas.microsoft.com/office/word/2010/wordprocessingShape">
                  <wps:wsp>
                    <wps:cNvSpPr/>
                    <wps:cNvPr id="2" name="Shape 2"/>
                    <wps:spPr>
                      <a:xfrm>
                        <a:off x="2055113" y="3473930"/>
                        <a:ext cx="6581775" cy="612140"/>
                      </a:xfrm>
                      <a:prstGeom prst="rect">
                        <a:avLst/>
                      </a:prstGeom>
                      <a:solidFill>
                        <a:schemeClr val="lt1"/>
                      </a:solidFill>
                      <a:ln>
                        <a:noFill/>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Preventing Bullying in Primary Schools at the</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Mediterranean Region</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-596899</wp:posOffset>
              </wp:positionV>
              <wp:extent cx="6591300" cy="621665"/>
              <wp:effectExtent b="0" l="0" r="0" t="0"/>
              <wp:wrapNone/>
              <wp:docPr id="208597927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591300" cy="621665"/>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Jornada autonómica de buenas prácticas en materia de convivencia escolar: experiencias en centros, curso 2024-2025.</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781.0" w:type="dxa"/>
      <w:jc w:val="left"/>
      <w:tblBorders>
        <w:top w:color="000000" w:space="0" w:sz="0" w:val="nil"/>
        <w:left w:color="000000" w:space="0" w:sz="0" w:val="nil"/>
        <w:bottom w:color="747474" w:space="0" w:sz="12" w:val="single"/>
        <w:right w:color="000000" w:space="0" w:sz="0" w:val="nil"/>
        <w:insideH w:color="000000" w:space="0" w:sz="0" w:val="nil"/>
        <w:insideV w:color="000000" w:space="0" w:sz="0" w:val="nil"/>
      </w:tblBorders>
      <w:tblLayout w:type="fixed"/>
      <w:tblLook w:val="0400"/>
    </w:tblPr>
    <w:tblGrid>
      <w:gridCol w:w="1980"/>
      <w:gridCol w:w="5953"/>
      <w:gridCol w:w="1848"/>
      <w:tblGridChange w:id="0">
        <w:tblGrid>
          <w:gridCol w:w="1980"/>
          <w:gridCol w:w="5953"/>
          <w:gridCol w:w="1848"/>
        </w:tblGrid>
      </w:tblGridChange>
    </w:tblGrid>
    <w:tr>
      <w:trPr>
        <w:cantSplit w:val="0"/>
        <w:trHeight w:val="1701" w:hRule="atLeast"/>
        <w:tblHeader w:val="0"/>
      </w:trPr>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wp:posOffset>
                </wp:positionH>
                <wp:positionV relativeFrom="paragraph">
                  <wp:posOffset>0</wp:posOffset>
                </wp:positionV>
                <wp:extent cx="1106170" cy="821690"/>
                <wp:effectExtent b="0" l="0" r="0" t="0"/>
                <wp:wrapSquare wrapText="bothSides" distB="0" distT="0" distL="114300" distR="114300"/>
                <wp:docPr descr="A group of people holding hands&#10;&#10;AI-generated content may be incorrect." id="2085979276" name="image3.png"/>
                <a:graphic>
                  <a:graphicData uri="http://schemas.openxmlformats.org/drawingml/2006/picture">
                    <pic:pic>
                      <pic:nvPicPr>
                        <pic:cNvPr descr="A group of people holding hands&#10;&#10;AI-generated content may be incorrect." id="0" name="image3.png"/>
                        <pic:cNvPicPr preferRelativeResize="0"/>
                      </pic:nvPicPr>
                      <pic:blipFill>
                        <a:blip r:embed="rId1"/>
                        <a:srcRect b="0" l="0" r="0" t="4465"/>
                        <a:stretch>
                          <a:fillRect/>
                        </a:stretch>
                      </pic:blipFill>
                      <pic:spPr>
                        <a:xfrm>
                          <a:off x="0" y="0"/>
                          <a:ext cx="1106170" cy="821690"/>
                        </a:xfrm>
                        <a:prstGeom prst="rect"/>
                        <a:ln/>
                      </pic:spPr>
                    </pic:pic>
                  </a:graphicData>
                </a:graphic>
              </wp:anchor>
            </w:drawing>
          </w:r>
        </w:p>
      </w:tc>
      <w:tc>
        <w:tcPr/>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center"/>
            <w:rPr>
              <w:b w:val="1"/>
              <w:sz w:val="20"/>
              <w:szCs w:val="20"/>
            </w:rPr>
          </w:pPr>
          <w:r w:rsidDel="00000000" w:rsidR="00000000" w:rsidRPr="00000000">
            <w:rPr>
              <w:b w:val="1"/>
              <w:sz w:val="20"/>
              <w:szCs w:val="20"/>
              <w:rtl w:val="0"/>
            </w:rPr>
            <w:t xml:space="preserve">PreMedBullying</w:t>
          </w:r>
        </w:p>
        <w:p w:rsidR="00000000" w:rsidDel="00000000" w:rsidP="00000000" w:rsidRDefault="00000000" w:rsidRPr="00000000" w14:paraId="00000048">
          <w:pPr>
            <w:jc w:val="center"/>
            <w:rPr>
              <w:b w:val="1"/>
              <w:sz w:val="20"/>
              <w:szCs w:val="20"/>
            </w:rPr>
          </w:pPr>
          <w:r w:rsidDel="00000000" w:rsidR="00000000" w:rsidRPr="00000000">
            <w:rPr>
              <w:rtl w:val="0"/>
            </w:rPr>
          </w:r>
        </w:p>
        <w:p w:rsidR="00000000" w:rsidDel="00000000" w:rsidP="00000000" w:rsidRDefault="00000000" w:rsidRPr="00000000" w14:paraId="00000049">
          <w:pPr>
            <w:jc w:val="center"/>
            <w:rPr>
              <w:b w:val="1"/>
              <w:sz w:val="6"/>
              <w:szCs w:val="6"/>
            </w:rPr>
          </w:pPr>
          <w:r w:rsidDel="00000000" w:rsidR="00000000" w:rsidRPr="00000000">
            <w:rPr>
              <w:rtl w:val="0"/>
            </w:rPr>
          </w:r>
        </w:p>
        <w:p w:rsidR="00000000" w:rsidDel="00000000" w:rsidP="00000000" w:rsidRDefault="00000000" w:rsidRPr="00000000" w14:paraId="0000004A">
          <w:pPr>
            <w:spacing w:after="60" w:lineRule="auto"/>
            <w:jc w:val="center"/>
            <w:rPr>
              <w:sz w:val="18"/>
              <w:szCs w:val="18"/>
            </w:rPr>
          </w:pPr>
          <w:r w:rsidDel="00000000" w:rsidR="00000000" w:rsidRPr="00000000">
            <w:rPr>
              <w:sz w:val="18"/>
              <w:szCs w:val="18"/>
              <w:rtl w:val="0"/>
            </w:rPr>
            <w:t xml:space="preserve">Preventing Bullying in Primary Schools at the Mediterranean Region</w:t>
          </w:r>
        </w:p>
        <w:p w:rsidR="00000000" w:rsidDel="00000000" w:rsidP="00000000" w:rsidRDefault="00000000" w:rsidRPr="00000000" w14:paraId="0000004B">
          <w:pPr>
            <w:spacing w:after="60" w:lineRule="auto"/>
            <w:jc w:val="center"/>
            <w:rPr>
              <w:sz w:val="19"/>
              <w:szCs w:val="19"/>
            </w:rPr>
          </w:pPr>
          <w:r w:rsidDel="00000000" w:rsidR="00000000" w:rsidRPr="00000000">
            <w:rPr>
              <w:sz w:val="18"/>
              <w:szCs w:val="18"/>
              <w:rtl w:val="0"/>
            </w:rPr>
            <w:t xml:space="preserve">2024-1-EL01-KA220-SCH-000246861</w:t>
          </w:r>
          <w:r w:rsidDel="00000000" w:rsidR="00000000" w:rsidRPr="00000000">
            <w:rPr>
              <w:rtl w:val="0"/>
            </w:rPr>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77713" cy="770429"/>
                <wp:effectExtent b="0" l="0" r="0" t="0"/>
                <wp:docPr descr="A blue flag with yellow stars&#10;&#10;AI-generated content may be incorrect." id="2085979277" name="image2.png"/>
                <a:graphic>
                  <a:graphicData uri="http://schemas.openxmlformats.org/drawingml/2006/picture">
                    <pic:pic>
                      <pic:nvPicPr>
                        <pic:cNvPr descr="A blue flag with yellow stars&#10;&#10;AI-generated content may be incorrect." id="0" name="image2.png"/>
                        <pic:cNvPicPr preferRelativeResize="0"/>
                      </pic:nvPicPr>
                      <pic:blipFill>
                        <a:blip r:embed="rId2"/>
                        <a:srcRect b="7189" l="0" r="0" t="9214"/>
                        <a:stretch>
                          <a:fillRect/>
                        </a:stretch>
                      </pic:blipFill>
                      <pic:spPr>
                        <a:xfrm>
                          <a:off x="0" y="0"/>
                          <a:ext cx="877713" cy="77042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before="360" w:lineRule="auto"/>
      <w:ind w:left="357" w:hanging="357"/>
    </w:pPr>
    <w:rPr>
      <w:rFonts w:ascii="Calibri" w:cs="Calibri" w:eastAsia="Calibri" w:hAnsi="Calibri"/>
      <w:color w:val="ff6600"/>
      <w:sz w:val="40"/>
      <w:szCs w:val="40"/>
    </w:rPr>
  </w:style>
  <w:style w:type="paragraph" w:styleId="Heading2">
    <w:name w:val="heading 2"/>
    <w:basedOn w:val="Normal"/>
    <w:next w:val="Normal"/>
    <w:pPr>
      <w:keepNext w:val="1"/>
      <w:keepLines w:val="1"/>
      <w:spacing w:before="480" w:lineRule="auto"/>
      <w:ind w:left="360" w:hanging="360"/>
    </w:pPr>
    <w:rPr>
      <w:rFonts w:ascii="Calibri" w:cs="Calibri" w:eastAsia="Calibri" w:hAnsi="Calibri"/>
      <w:color w:val="ff6600"/>
      <w:sz w:val="32"/>
      <w:szCs w:val="32"/>
    </w:rPr>
  </w:style>
  <w:style w:type="paragraph" w:styleId="Heading3">
    <w:name w:val="heading 3"/>
    <w:basedOn w:val="Normal"/>
    <w:next w:val="Normal"/>
    <w:pPr>
      <w:keepNext w:val="1"/>
      <w:keepLines w:val="1"/>
      <w:spacing w:after="120" w:before="360" w:lineRule="auto"/>
      <w:ind w:left="720" w:hanging="360"/>
    </w:pPr>
    <w:rPr>
      <w:rFonts w:ascii="Calibri" w:cs="Calibri" w:eastAsia="Calibri" w:hAnsi="Calibri"/>
      <w:color w:val="ff6600"/>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keepNext w:val="1"/>
      <w:keepLines w:val="1"/>
      <w:pageBreakBefore w:val="1"/>
      <w:spacing w:before="360" w:lineRule="auto"/>
      <w:ind w:left="357" w:hanging="357"/>
    </w:pPr>
    <w:rPr>
      <w:rFonts w:ascii="Calibri" w:cs="Calibri" w:eastAsia="Calibri" w:hAnsi="Calibri"/>
      <w:color w:val="ff6600"/>
      <w:sz w:val="36"/>
      <w:szCs w:val="36"/>
    </w:rPr>
  </w:style>
  <w:style w:type="paragraph" w:styleId="Ttulo7">
    <w:name w:val="heading 7"/>
    <w:basedOn w:val="Normal"/>
    <w:next w:val="Normal"/>
    <w:link w:val="Ttulo7Car"/>
    <w:uiPriority w:val="9"/>
    <w:semiHidden w:val="1"/>
    <w:unhideWhenUsed w:val="1"/>
    <w:qFormat w:val="1"/>
    <w:rsid w:val="00CF0533"/>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CF0533"/>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CF0533"/>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BB35BB"/>
    <w:rPr>
      <w:rFonts w:ascii="Calibri Light" w:cs="Calibri Light" w:hAnsi="Calibri Light" w:eastAsiaTheme="majorEastAsia"/>
      <w:color w:val="ff6600"/>
      <w:sz w:val="40"/>
      <w:szCs w:val="40"/>
      <w:lang w:val="en-GB"/>
    </w:rPr>
  </w:style>
  <w:style w:type="character" w:styleId="Ttulo2Car" w:customStyle="1">
    <w:name w:val="Título 2 Car"/>
    <w:basedOn w:val="Fuentedeprrafopredeter"/>
    <w:link w:val="Ttulo2"/>
    <w:uiPriority w:val="1"/>
    <w:rsid w:val="00ED4779"/>
    <w:rPr>
      <w:rFonts w:ascii="Calibri Light" w:cs="Calibri Light" w:hAnsi="Calibri Light" w:eastAsiaTheme="majorEastAsia"/>
      <w:color w:val="ff6600"/>
      <w:sz w:val="32"/>
      <w:szCs w:val="32"/>
      <w:lang w:val="en-GB"/>
    </w:rPr>
  </w:style>
  <w:style w:type="character" w:styleId="Ttulo3Car" w:customStyle="1">
    <w:name w:val="Título 3 Car"/>
    <w:basedOn w:val="Fuentedeprrafopredeter"/>
    <w:link w:val="Ttulo3"/>
    <w:uiPriority w:val="2"/>
    <w:rsid w:val="009D7D79"/>
    <w:rPr>
      <w:rFonts w:ascii="Calibri Light" w:cs="Calibri Light" w:hAnsi="Calibri Light" w:eastAsiaTheme="majorEastAsia"/>
      <w:color w:val="ff6600"/>
      <w:sz w:val="28"/>
      <w:szCs w:val="28"/>
      <w:lang w:val="en-GB"/>
    </w:rPr>
  </w:style>
  <w:style w:type="character" w:styleId="Ttulo4Car" w:customStyle="1">
    <w:name w:val="Título 4 Car"/>
    <w:basedOn w:val="Fuentedeprrafopredeter"/>
    <w:link w:val="Ttulo4"/>
    <w:uiPriority w:val="9"/>
    <w:semiHidden w:val="1"/>
    <w:rsid w:val="00CF0533"/>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CF0533"/>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CF0533"/>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CF0533"/>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CF0533"/>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CF0533"/>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45B14"/>
    <w:rPr>
      <w:rFonts w:ascii="Calibri Light" w:cs="Calibri Light" w:hAnsi="Calibri Light" w:eastAsiaTheme="majorEastAsia"/>
      <w:color w:val="ff6600"/>
      <w:sz w:val="36"/>
      <w:szCs w:val="36"/>
      <w:lang w:val="en-GB"/>
    </w:rPr>
  </w:style>
  <w:style w:type="character" w:styleId="SubttuloCar" w:customStyle="1">
    <w:name w:val="Subtítulo Car"/>
    <w:basedOn w:val="Fuentedeprrafopredeter"/>
    <w:link w:val="Subttulo"/>
    <w:uiPriority w:val="11"/>
    <w:rsid w:val="00CF0533"/>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CF0533"/>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CF0533"/>
    <w:rPr>
      <w:i w:val="1"/>
      <w:iCs w:val="1"/>
      <w:color w:val="404040" w:themeColor="text1" w:themeTint="0000BF"/>
    </w:rPr>
  </w:style>
  <w:style w:type="paragraph" w:styleId="Prrafodelista">
    <w:name w:val="List Paragraph"/>
    <w:basedOn w:val="Normal"/>
    <w:uiPriority w:val="34"/>
    <w:qFormat w:val="1"/>
    <w:rsid w:val="00CF0533"/>
    <w:pPr>
      <w:ind w:left="720"/>
      <w:contextualSpacing w:val="1"/>
    </w:pPr>
  </w:style>
  <w:style w:type="character" w:styleId="nfasisintenso">
    <w:name w:val="Intense Emphasis"/>
    <w:basedOn w:val="Fuentedeprrafopredeter"/>
    <w:uiPriority w:val="21"/>
    <w:qFormat w:val="1"/>
    <w:rsid w:val="00CF0533"/>
    <w:rPr>
      <w:i w:val="1"/>
      <w:iCs w:val="1"/>
      <w:color w:val="0f4761" w:themeColor="accent1" w:themeShade="0000BF"/>
    </w:rPr>
  </w:style>
  <w:style w:type="paragraph" w:styleId="Citadestacada">
    <w:name w:val="Intense Quote"/>
    <w:basedOn w:val="Normal"/>
    <w:next w:val="Normal"/>
    <w:link w:val="CitadestacadaCar"/>
    <w:uiPriority w:val="30"/>
    <w:qFormat w:val="1"/>
    <w:rsid w:val="00CF053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CF0533"/>
    <w:rPr>
      <w:i w:val="1"/>
      <w:iCs w:val="1"/>
      <w:color w:val="0f4761" w:themeColor="accent1" w:themeShade="0000BF"/>
    </w:rPr>
  </w:style>
  <w:style w:type="character" w:styleId="Referenciaintensa">
    <w:name w:val="Intense Reference"/>
    <w:basedOn w:val="Fuentedeprrafopredeter"/>
    <w:uiPriority w:val="32"/>
    <w:qFormat w:val="1"/>
    <w:rsid w:val="00CF0533"/>
    <w:rPr>
      <w:b w:val="1"/>
      <w:bCs w:val="1"/>
      <w:smallCaps w:val="1"/>
      <w:color w:val="0f4761" w:themeColor="accent1" w:themeShade="0000BF"/>
      <w:spacing w:val="5"/>
    </w:rPr>
  </w:style>
  <w:style w:type="paragraph" w:styleId="NormalWeb">
    <w:name w:val="Normal (Web)"/>
    <w:basedOn w:val="Normal"/>
    <w:uiPriority w:val="99"/>
    <w:semiHidden w:val="1"/>
    <w:unhideWhenUsed w:val="1"/>
    <w:rsid w:val="005B2590"/>
    <w:pPr>
      <w:spacing w:after="100" w:afterAutospacing="1" w:before="100" w:beforeAutospacing="1" w:line="240" w:lineRule="auto"/>
    </w:pPr>
    <w:rPr>
      <w:rFonts w:ascii="Times New Roman" w:cs="Times New Roman" w:eastAsia="Times New Roman" w:hAnsi="Times New Roman"/>
      <w:kern w:val="0"/>
      <w:lang w:eastAsia="el-GR"/>
    </w:rPr>
  </w:style>
  <w:style w:type="paragraph" w:styleId="Encabezado">
    <w:name w:val="header"/>
    <w:basedOn w:val="Normal"/>
    <w:link w:val="EncabezadoCar"/>
    <w:uiPriority w:val="99"/>
    <w:unhideWhenUsed w:val="1"/>
    <w:rsid w:val="005B2590"/>
    <w:pPr>
      <w:tabs>
        <w:tab w:val="center" w:pos="4153"/>
        <w:tab w:val="right" w:pos="8306"/>
      </w:tabs>
      <w:spacing w:after="0" w:line="240" w:lineRule="auto"/>
    </w:pPr>
  </w:style>
  <w:style w:type="character" w:styleId="EncabezadoCar" w:customStyle="1">
    <w:name w:val="Encabezado Car"/>
    <w:basedOn w:val="Fuentedeprrafopredeter"/>
    <w:link w:val="Encabezado"/>
    <w:uiPriority w:val="99"/>
    <w:rsid w:val="005B2590"/>
  </w:style>
  <w:style w:type="paragraph" w:styleId="Piedepgina">
    <w:name w:val="footer"/>
    <w:basedOn w:val="Normal"/>
    <w:link w:val="PiedepginaCar"/>
    <w:uiPriority w:val="99"/>
    <w:unhideWhenUsed w:val="1"/>
    <w:rsid w:val="005B2590"/>
    <w:pPr>
      <w:tabs>
        <w:tab w:val="center" w:pos="4153"/>
        <w:tab w:val="right" w:pos="8306"/>
      </w:tabs>
      <w:spacing w:after="0" w:line="240" w:lineRule="auto"/>
    </w:pPr>
  </w:style>
  <w:style w:type="character" w:styleId="PiedepginaCar" w:customStyle="1">
    <w:name w:val="Pie de página Car"/>
    <w:basedOn w:val="Fuentedeprrafopredeter"/>
    <w:link w:val="Piedepgina"/>
    <w:uiPriority w:val="99"/>
    <w:rsid w:val="005B2590"/>
  </w:style>
  <w:style w:type="table" w:styleId="Cuadrculadetablaclara">
    <w:name w:val="Grid Table Light"/>
    <w:basedOn w:val="Tablanormal"/>
    <w:uiPriority w:val="40"/>
    <w:rsid w:val="008769BC"/>
    <w:pPr>
      <w:spacing w:after="0" w:line="240" w:lineRule="auto"/>
    </w:pPr>
    <w:rPr>
      <w:rFonts w:ascii="Calibri" w:hAnsi="Calibri"/>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adecuadrcula1clara">
    <w:name w:val="Grid Table 1 Light"/>
    <w:basedOn w:val="Tablanormal"/>
    <w:uiPriority w:val="46"/>
    <w:rsid w:val="008769BC"/>
    <w:pPr>
      <w:spacing w:after="0" w:line="240" w:lineRule="auto"/>
    </w:pPr>
    <w:rPr>
      <w:rFonts w:ascii="Calibri" w:hAnsi="Calibri"/>
    </w:r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TtuloTDC">
    <w:name w:val="TOC Heading"/>
    <w:basedOn w:val="Ttulo1"/>
    <w:next w:val="Normal"/>
    <w:uiPriority w:val="39"/>
    <w:unhideWhenUsed w:val="1"/>
    <w:rsid w:val="009C0406"/>
    <w:pPr>
      <w:spacing w:after="240"/>
      <w:ind w:left="431" w:hanging="431"/>
      <w:outlineLvl w:val="9"/>
    </w:pPr>
    <w:rPr>
      <w:rFonts w:eastAsiaTheme="minorEastAsia"/>
      <w:sz w:val="32"/>
      <w:szCs w:val="32"/>
    </w:rPr>
  </w:style>
  <w:style w:type="paragraph" w:styleId="TDC2">
    <w:name w:val="toc 2"/>
    <w:basedOn w:val="Normal"/>
    <w:next w:val="Normal"/>
    <w:autoRedefine w:val="1"/>
    <w:uiPriority w:val="39"/>
    <w:unhideWhenUsed w:val="1"/>
    <w:rsid w:val="008769BC"/>
    <w:pPr>
      <w:spacing w:after="100"/>
      <w:ind w:left="240"/>
    </w:pPr>
  </w:style>
  <w:style w:type="character" w:styleId="Hipervnculo">
    <w:name w:val="Hyperlink"/>
    <w:basedOn w:val="Fuentedeprrafopredeter"/>
    <w:uiPriority w:val="99"/>
    <w:unhideWhenUsed w:val="1"/>
    <w:rsid w:val="008769BC"/>
    <w:rPr>
      <w:color w:val="467886" w:themeColor="hyperlink"/>
      <w:u w:val="single"/>
    </w:rPr>
  </w:style>
  <w:style w:type="paragraph" w:styleId="Descripcin">
    <w:name w:val="caption"/>
    <w:basedOn w:val="Normal"/>
    <w:next w:val="Normal"/>
    <w:uiPriority w:val="35"/>
    <w:unhideWhenUsed w:val="1"/>
    <w:qFormat w:val="1"/>
    <w:rsid w:val="008769BC"/>
    <w:pPr>
      <w:spacing w:after="200" w:line="240" w:lineRule="auto"/>
    </w:pPr>
    <w:rPr>
      <w:color w:val="0e2841" w:themeColor="text2"/>
      <w:sz w:val="18"/>
      <w:szCs w:val="18"/>
      <w:lang w:val="en-US"/>
    </w:rPr>
  </w:style>
  <w:style w:type="character" w:styleId="Textoennegrita">
    <w:name w:val="Strong"/>
    <w:uiPriority w:val="22"/>
    <w:rsid w:val="009C0406"/>
    <w:rPr>
      <w:rFonts w:ascii="Calibri Light" w:cs="Calibri Light" w:hAnsi="Calibri Light"/>
      <w:color w:val="ff6600"/>
      <w:sz w:val="32"/>
      <w:szCs w:val="32"/>
      <w:lang w:val="en-US"/>
    </w:rPr>
  </w:style>
  <w:style w:type="paragraph" w:styleId="TDC1">
    <w:name w:val="toc 1"/>
    <w:basedOn w:val="Normal"/>
    <w:next w:val="Normal"/>
    <w:autoRedefine w:val="1"/>
    <w:uiPriority w:val="39"/>
    <w:unhideWhenUsed w:val="1"/>
    <w:rsid w:val="008769BC"/>
    <w:pPr>
      <w:spacing w:after="100"/>
    </w:pPr>
  </w:style>
  <w:style w:type="paragraph" w:styleId="TDC3">
    <w:name w:val="toc 3"/>
    <w:basedOn w:val="Normal"/>
    <w:next w:val="Normal"/>
    <w:autoRedefine w:val="1"/>
    <w:uiPriority w:val="39"/>
    <w:unhideWhenUsed w:val="1"/>
    <w:rsid w:val="008769BC"/>
    <w:pPr>
      <w:spacing w:after="100"/>
      <w:ind w:left="480"/>
    </w:pPr>
  </w:style>
  <w:style w:type="character" w:styleId="Textodelmarcadordeposicin">
    <w:name w:val="Placeholder Text"/>
    <w:basedOn w:val="Fuentedeprrafopredeter"/>
    <w:uiPriority w:val="99"/>
    <w:semiHidden w:val="1"/>
    <w:rsid w:val="008769BC"/>
    <w:rPr>
      <w:color w:val="666666"/>
    </w:rPr>
  </w:style>
  <w:style w:type="table" w:styleId="Tablaconcuadrcula">
    <w:name w:val="Table Grid"/>
    <w:basedOn w:val="Tablanormal"/>
    <w:uiPriority w:val="39"/>
    <w:rsid w:val="00EE5A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basedOn w:val="Normal"/>
    <w:link w:val="SinespaciadoCar"/>
    <w:uiPriority w:val="1"/>
    <w:rsid w:val="001672FB"/>
    <w:pPr>
      <w:tabs>
        <w:tab w:val="num" w:pos="720"/>
      </w:tabs>
      <w:spacing w:after="0" w:line="240" w:lineRule="auto"/>
      <w:ind w:left="720" w:hanging="720"/>
      <w:jc w:val="both"/>
    </w:pPr>
    <w:rPr>
      <w:rFonts w:eastAsia="Calibri"/>
      <w:kern w:val="0"/>
      <w:lang w:eastAsia="el-GR"/>
    </w:rPr>
  </w:style>
  <w:style w:type="character" w:styleId="SinespaciadoCar" w:customStyle="1">
    <w:name w:val="Sin espaciado Car"/>
    <w:basedOn w:val="Fuentedeprrafopredeter"/>
    <w:link w:val="Sinespaciado"/>
    <w:uiPriority w:val="1"/>
    <w:rsid w:val="001672FB"/>
    <w:rPr>
      <w:rFonts w:ascii="Calibri" w:cs="Calibri" w:eastAsia="Calibri" w:hAnsi="Calibri"/>
      <w:kern w:val="0"/>
      <w:sz w:val="22"/>
      <w:szCs w:val="22"/>
      <w:lang w:eastAsia="el-GR" w:val="en-GB"/>
    </w:rPr>
  </w:style>
  <w:style w:type="paragraph" w:styleId="Style1" w:customStyle="1">
    <w:name w:val="Style1"/>
    <w:basedOn w:val="Ttulo"/>
    <w:link w:val="Style1Char"/>
    <w:rsid w:val="001012D7"/>
  </w:style>
  <w:style w:type="character" w:styleId="Style1Char" w:customStyle="1">
    <w:name w:val="Style1 Char"/>
    <w:basedOn w:val="TtuloCar"/>
    <w:link w:val="Style1"/>
    <w:rsid w:val="001012D7"/>
    <w:rPr>
      <w:rFonts w:ascii="Calibri Light" w:cs="Calibri Light" w:hAnsi="Calibri Light" w:eastAsiaTheme="majorEastAsia"/>
      <w:color w:val="ff6600"/>
      <w:sz w:val="36"/>
      <w:szCs w:val="36"/>
      <w:lang w:val="en-GB"/>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boe.es/eli/es/rd/2004/07/30/1774/con" TargetMode="External"/><Relationship Id="rId42" Type="http://schemas.openxmlformats.org/officeDocument/2006/relationships/hyperlink" Target="https://www.boe.es/eli/es/rd/2022/02/01/95" TargetMode="External"/><Relationship Id="rId41" Type="http://schemas.openxmlformats.org/officeDocument/2006/relationships/hyperlink" Target="https://www.boe.es/eli/es/rd/2022/02/01/95" TargetMode="External"/><Relationship Id="rId44" Type="http://schemas.openxmlformats.org/officeDocument/2006/relationships/hyperlink" Target="https://www.boe.es/eli/es/rd/2022/03/01/157/con" TargetMode="External"/><Relationship Id="rId43" Type="http://schemas.openxmlformats.org/officeDocument/2006/relationships/hyperlink" Target="https://www.boe.es/eli/es/rd/2007/02/23/275/con" TargetMode="External"/><Relationship Id="rId46" Type="http://schemas.openxmlformats.org/officeDocument/2006/relationships/hyperlink" Target="https://www.boe.es/eli/es/rd/2022/03/29/217/con" TargetMode="External"/><Relationship Id="rId45" Type="http://schemas.openxmlformats.org/officeDocument/2006/relationships/hyperlink" Target="https://www.boe.es/eli/es/rd/2022/03/01/157/c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ncibe.es/menores/educadores/formacion?utm_source=chatgpt.com" TargetMode="External"/><Relationship Id="rId48" Type="http://schemas.openxmlformats.org/officeDocument/2006/relationships/header" Target="header1.xml"/><Relationship Id="rId47" Type="http://schemas.openxmlformats.org/officeDocument/2006/relationships/hyperlink" Target="https://www.boe.es/eli/es/rd/2022/03/29/217/con" TargetMode="External"/><Relationship Id="rId4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educacionfpydeportes.gob.es/mc/sgctie/convivencia-escolar/en-accion/acoso-ciberacoso.html" TargetMode="External"/><Relationship Id="rId31" Type="http://schemas.openxmlformats.org/officeDocument/2006/relationships/hyperlink" Target="https://www.boe.es/eli/es-cl/l/2014/04/16/3/con" TargetMode="External"/><Relationship Id="rId30" Type="http://schemas.openxmlformats.org/officeDocument/2006/relationships/hyperlink" Target="https://www.boe.es/eli/es-md/l/2010/06/15/2/con" TargetMode="External"/><Relationship Id="rId33" Type="http://schemas.openxmlformats.org/officeDocument/2006/relationships/hyperlink" Target="https://www.boe.es/eli/es/l/2022/07/12/15/con" TargetMode="External"/><Relationship Id="rId32" Type="http://schemas.openxmlformats.org/officeDocument/2006/relationships/hyperlink" Target="https://www.boe.es/eli/es/l/2019/03/07/4/con" TargetMode="External"/><Relationship Id="rId35" Type="http://schemas.openxmlformats.org/officeDocument/2006/relationships/hyperlink" Target="https://www.boe.es/eli/es/lo/2020/12/29/3/con" TargetMode="External"/><Relationship Id="rId34" Type="http://schemas.openxmlformats.org/officeDocument/2006/relationships/hyperlink" Target="https://www.boe.es/eli/es/lo/2000/01/12/5/con" TargetMode="External"/><Relationship Id="rId37" Type="http://schemas.openxmlformats.org/officeDocument/2006/relationships/hyperlink" Target="https://www.igualdad.gob.es/abrazar-la-diversidad-propuestas-para-una-educacion-libre-de-acoso-homofobico-y-transfobico/" TargetMode="External"/><Relationship Id="rId36" Type="http://schemas.openxmlformats.org/officeDocument/2006/relationships/hyperlink" Target="https://www.boe.es/eli/es/lo/2020/12/29/3/con" TargetMode="External"/><Relationship Id="rId39" Type="http://schemas.openxmlformats.org/officeDocument/2006/relationships/hyperlink" Target="https://www.boe.es/boe/dias/1995/06/02/pdfs/A16185-16192.pdf" TargetMode="External"/><Relationship Id="rId38" Type="http://schemas.openxmlformats.org/officeDocument/2006/relationships/hyperlink" Target="https://www.boe.es/boe/dias/1995/06/02/pdfs/A16185-16192.pdf" TargetMode="External"/><Relationship Id="rId20" Type="http://schemas.openxmlformats.org/officeDocument/2006/relationships/hyperlink" Target="http://doi.org/10.18172/con.5765" TargetMode="External"/><Relationship Id="rId22" Type="http://schemas.openxmlformats.org/officeDocument/2006/relationships/hyperlink" Target="https://dx.doi.org/10.23923/pap.psicol.2965" TargetMode="External"/><Relationship Id="rId21" Type="http://schemas.openxmlformats.org/officeDocument/2006/relationships/hyperlink" Target="http://doi.org/10.18172/con.5765" TargetMode="External"/><Relationship Id="rId24" Type="http://schemas.openxmlformats.org/officeDocument/2006/relationships/hyperlink" Target="https://octaedro.com/libro/acoso-y-ciberacoso-en-la-escuela/" TargetMode="External"/><Relationship Id="rId23" Type="http://schemas.openxmlformats.org/officeDocument/2006/relationships/hyperlink" Target="https://dx.doi.org/10.23923/pap.psicol.2965" TargetMode="External"/><Relationship Id="rId26" Type="http://schemas.openxmlformats.org/officeDocument/2006/relationships/hyperlink" Target="https://doi.org/10.24310/mumaedmumaed.247" TargetMode="External"/><Relationship Id="rId25" Type="http://schemas.openxmlformats.org/officeDocument/2006/relationships/hyperlink" Target="https://octaedro.com/libro/acoso-y-ciberacoso-en-la-escuela/" TargetMode="External"/><Relationship Id="rId28" Type="http://schemas.openxmlformats.org/officeDocument/2006/relationships/hyperlink" Target="https://www.libreria.educacion.gob.es/libro/guia-para-la-comunidad-educativa-de-prevencion-y-apoyo-a-las-victimas-de-ciberacoso-en-el-contexto-escolar_169558/" TargetMode="External"/><Relationship Id="rId27" Type="http://schemas.openxmlformats.org/officeDocument/2006/relationships/hyperlink" Target="https://octaedro.com/libro/gestion-de-la-convivencia/" TargetMode="External"/><Relationship Id="rId29" Type="http://schemas.openxmlformats.org/officeDocument/2006/relationships/hyperlink" Target="https://www.libreria.educacion.gob.es/libro/guia-para-la-comunidad-educativa-de-prevencion-y-apoyo-a-las-victimas-de-ciberacoso-en-el-contexto-escolar_169558/" TargetMode="External"/><Relationship Id="rId50" Type="http://schemas.openxmlformats.org/officeDocument/2006/relationships/footer" Target="footer2.xml"/><Relationship Id="rId11" Type="http://schemas.openxmlformats.org/officeDocument/2006/relationships/hyperlink" Target="https://www.boe.es/buscar/doc.php?id=BOE-A-2011-16923" TargetMode="External"/><Relationship Id="rId10" Type="http://schemas.openxmlformats.org/officeDocument/2006/relationships/hyperlink" Target="https://www.educacionfpydeportes.gob.es/mc/sgctie/convivencia-escolar/observatorio.html?utm_source=chatgpt.com" TargetMode="External"/><Relationship Id="rId13" Type="http://schemas.openxmlformats.org/officeDocument/2006/relationships/hyperlink" Target="https://aprende.intef.es/mccdd" TargetMode="External"/><Relationship Id="rId12" Type="http://schemas.openxmlformats.org/officeDocument/2006/relationships/hyperlink" Target="https://www.boe.es/buscar/doc.php?id=BOE-A-2011-16923" TargetMode="External"/><Relationship Id="rId15" Type="http://schemas.openxmlformats.org/officeDocument/2006/relationships/hyperlink" Target="https://www.boe.es/boe/dias/2020/07/13/pdfs/BOE-A-2020-7775.pdf?utm_source=chatgpt.com" TargetMode="External"/><Relationship Id="rId14" Type="http://schemas.openxmlformats.org/officeDocument/2006/relationships/hyperlink" Target="https://enlinea.intef.es/courses/course-v1%3AINTEF%2BAcosoEscolar%2B2021_ED1/about" TargetMode="External"/><Relationship Id="rId17" Type="http://schemas.openxmlformats.org/officeDocument/2006/relationships/hyperlink" Target="https://www.edicionespiramide.es/libro/psicologia/acoso-escolar-rosa-bernabe-martinez-9788436847147/" TargetMode="External"/><Relationship Id="rId16" Type="http://schemas.openxmlformats.org/officeDocument/2006/relationships/hyperlink" Target="https://www.incibe.es/menores/educadores/formacion?utm_source=chatgpt.com" TargetMode="External"/><Relationship Id="rId19" Type="http://schemas.openxmlformats.org/officeDocument/2006/relationships/hyperlink" Target="https://www.libreria.educacion.gob.es/libro/indicadores-para-evaluar-y-mejorar-la-convivencia-escolar_184428/" TargetMode="External"/><Relationship Id="rId18" Type="http://schemas.openxmlformats.org/officeDocument/2006/relationships/hyperlink" Target="https://www.edicionespiramide.es/libro/psicologia/acoso-escolar-rosa-bernabe-martinez-978843684714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educa.jcyl.es/convivenciaescolar/es/buenas-practicas/jornada-autonomica-buenas-practicas-materia-convivenc-c9e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5P+EOaiHvuLsTVDmMk5D3Ona4g==">CgMxLjAyDmgueDI5eTdqczAxYnd5OABqLQoUc3VnZ2VzdC50cmwwbjQxdWU2N3kSFUlzYWJlbCBWaWNhcmlvLU1vbGluYWotChRzdWdnZXN0LnJhZGoxdXhueHh5MBIVSXNhYmVsIFZpY2FyaW8tTW9saW5hai0KFHN1Z2dlc3QubzN5MXg2aGd3anRtEhVJc2FiZWwgVmljYXJpby1Nb2xpbmFyITFpU2J5T0l5YzdKd3d1b19tOTVMUVhlOEFEN0hXRHNPNA==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2025-07-14T12:15:00Z</dcterms:created>
  <dc:creator>Sofia Papakonstantinou</dc:creator>
</cp:coreProperties>
</file>